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不符合规定项目的小知识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overflowPunct w:val="0"/>
        <w:spacing w:line="600" w:lineRule="exact"/>
        <w:ind w:firstLine="619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b/>
          <w:bCs/>
          <w:sz w:val="32"/>
          <w:szCs w:val="32"/>
        </w:rPr>
        <w:t>性状</w:t>
      </w:r>
      <w:r>
        <w:rPr>
          <w:rFonts w:hint="eastAsia" w:eastAsia="仿宋_GB2312"/>
          <w:sz w:val="32"/>
          <w:szCs w:val="32"/>
        </w:rPr>
        <w:t>记载药品的外观、质地、断面、臭、味、溶解度、以及物理常数等。中药饮片性状项不符合规定，可能涉及药材种属偏差、炮制工艺有瑕疵、储存不当等情形。</w:t>
      </w:r>
    </w:p>
    <w:p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5387501C"/>
    <w:rsid w:val="5387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2023-12-12T08:03:00Z</dcterms:created>
  <dc:creator>李冬</dc:creator>
  <cp:lastModifiedBy>李冬</cp:lastModifiedBy>
  <dcterms:modified xsi:type="dcterms:W3CDTF">2023-12-12T08:03:58Z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70B70580157044C5B7E69E2522C81F65_11</vt:lpwstr>
  </property>
</Properties>
</file>