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EE1229">
      <w:pPr>
        <w:pStyle w:val="8"/>
        <w:keepNext w:val="0"/>
        <w:keepLines w:val="0"/>
        <w:pageBreakBefore w:val="0"/>
        <w:widowControl/>
        <w:kinsoku/>
        <w:overflowPunct/>
        <w:topLinePunct w:val="0"/>
        <w:autoSpaceDE/>
        <w:autoSpaceDN w:val="0"/>
        <w:bidi w:val="0"/>
        <w:adjustRightInd/>
        <w:snapToGrid/>
        <w:spacing w:line="600" w:lineRule="exact"/>
        <w:ind w:left="0" w:leftChars="0" w:right="0" w:rightChars="0"/>
        <w:jc w:val="both"/>
        <w:rPr>
          <w:rFonts w:hint="eastAsia" w:ascii="仿宋_GB2312" w:hAnsi="仿宋_GB2312" w:eastAsia="仿宋_GB2312" w:cs="仿宋_GB2312"/>
          <w:kern w:val="0"/>
          <w:sz w:val="32"/>
          <w:szCs w:val="32"/>
          <w:lang w:val="en-US" w:eastAsia="zh-CN"/>
        </w:rPr>
      </w:pPr>
      <w:bookmarkStart w:id="0" w:name="maindelivery"/>
      <w:r>
        <w:rPr>
          <w:rFonts w:hint="eastAsia" w:ascii="仿宋_GB2312" w:hAnsi="仿宋_GB2312" w:eastAsia="仿宋_GB2312" w:cs="仿宋_GB2312"/>
          <w:kern w:val="0"/>
          <w:sz w:val="32"/>
          <w:szCs w:val="32"/>
          <w:lang w:val="en-US" w:eastAsia="zh-CN"/>
        </w:rPr>
        <w:t>附件2</w:t>
      </w:r>
    </w:p>
    <w:p w14:paraId="7D483891">
      <w:pPr>
        <w:pStyle w:val="8"/>
        <w:keepNext w:val="0"/>
        <w:keepLines w:val="0"/>
        <w:pageBreakBefore w:val="0"/>
        <w:widowControl/>
        <w:kinsoku/>
        <w:overflowPunct/>
        <w:topLinePunct w:val="0"/>
        <w:autoSpaceDE/>
        <w:autoSpaceDN w:val="0"/>
        <w:bidi w:val="0"/>
        <w:adjustRightInd/>
        <w:snapToGrid/>
        <w:spacing w:line="600" w:lineRule="exact"/>
        <w:ind w:left="0" w:leftChars="0" w:right="0" w:rightChars="0"/>
        <w:jc w:val="center"/>
        <w:rPr>
          <w:rFonts w:hint="eastAsia" w:ascii="方正小标宋简体" w:eastAsia="方正小标宋简体"/>
          <w:sz w:val="44"/>
          <w:szCs w:val="36"/>
        </w:rPr>
      </w:pPr>
    </w:p>
    <w:p w14:paraId="275BF1F5">
      <w:pPr>
        <w:pStyle w:val="8"/>
        <w:keepNext w:val="0"/>
        <w:keepLines w:val="0"/>
        <w:pageBreakBefore w:val="0"/>
        <w:widowControl/>
        <w:kinsoku/>
        <w:overflowPunct/>
        <w:topLinePunct w:val="0"/>
        <w:autoSpaceDE/>
        <w:autoSpaceDN w:val="0"/>
        <w:bidi w:val="0"/>
        <w:adjustRightInd/>
        <w:snapToGrid/>
        <w:spacing w:line="600" w:lineRule="exact"/>
        <w:ind w:left="0" w:leftChars="0" w:right="0" w:rightChars="0"/>
        <w:jc w:val="center"/>
        <w:rPr>
          <w:rFonts w:hint="eastAsia" w:ascii="仿宋_GB2312" w:hAnsi="Calibri" w:eastAsia="仿宋_GB2312" w:cs="仿宋_GB2312"/>
          <w:i w:val="0"/>
          <w:caps w:val="0"/>
          <w:color w:val="000000"/>
          <w:spacing w:val="0"/>
          <w:kern w:val="0"/>
          <w:sz w:val="32"/>
          <w:szCs w:val="32"/>
          <w:shd w:val="clear" w:color="auto" w:fill="FFFFFF"/>
          <w:lang w:val="en-US" w:eastAsia="zh-CN" w:bidi="ar"/>
        </w:rPr>
      </w:pPr>
      <w:bookmarkStart w:id="1" w:name="_GoBack"/>
      <w:r>
        <w:rPr>
          <w:rFonts w:hint="eastAsia" w:ascii="方正小标宋简体" w:eastAsia="方正小标宋简体"/>
          <w:sz w:val="44"/>
          <w:szCs w:val="36"/>
        </w:rPr>
        <w:t>不符合规定项目的小知识</w:t>
      </w:r>
      <w:bookmarkEnd w:id="1"/>
    </w:p>
    <w:p w14:paraId="751A6EC4">
      <w:pPr>
        <w:pStyle w:val="8"/>
        <w:keepNext w:val="0"/>
        <w:keepLines w:val="0"/>
        <w:pageBreakBefore w:val="0"/>
        <w:widowControl/>
        <w:kinsoku/>
        <w:overflowPunct/>
        <w:topLinePunct w:val="0"/>
        <w:autoSpaceDE/>
        <w:autoSpaceDN w:val="0"/>
        <w:bidi w:val="0"/>
        <w:adjustRightInd/>
        <w:snapToGrid/>
        <w:spacing w:line="600" w:lineRule="exact"/>
        <w:ind w:left="0" w:leftChars="0" w:right="0" w:rightChars="0"/>
        <w:jc w:val="both"/>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i w:val="0"/>
          <w:caps w:val="0"/>
          <w:color w:val="000000"/>
          <w:spacing w:val="0"/>
          <w:kern w:val="0"/>
          <w:sz w:val="32"/>
          <w:szCs w:val="32"/>
          <w:shd w:val="clear" w:color="auto" w:fill="FFFFFF"/>
          <w:lang w:val="en-US" w:eastAsia="zh-CN" w:bidi="ar"/>
        </w:rPr>
        <w:t xml:space="preserve">  </w:t>
      </w:r>
    </w:p>
    <w:p w14:paraId="605841E2">
      <w:pPr>
        <w:pStyle w:val="8"/>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default"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一、</w:t>
      </w:r>
      <w:r>
        <w:rPr>
          <w:rFonts w:hint="eastAsia" w:eastAsia="仿宋_GB2312"/>
          <w:b/>
          <w:bCs/>
          <w:sz w:val="32"/>
          <w:szCs w:val="32"/>
        </w:rPr>
        <w:t>菌落总数</w:t>
      </w:r>
      <w:r>
        <w:rPr>
          <w:rFonts w:hint="eastAsia" w:eastAsia="仿宋_GB2312"/>
          <w:b/>
          <w:bCs/>
          <w:sz w:val="32"/>
          <w:szCs w:val="32"/>
          <w:lang w:eastAsia="zh-CN"/>
        </w:rPr>
        <w:t>：</w:t>
      </w:r>
      <w:r>
        <w:rPr>
          <w:rFonts w:hint="eastAsia" w:eastAsia="仿宋_GB2312"/>
          <w:sz w:val="32"/>
          <w:szCs w:val="32"/>
        </w:rPr>
        <w:t>是指示性微生物指标，表示产品受细菌污染的程度。化妆品在生产制造、运输、储存过程中都可能导致微生物污染，对化妆品质量及消费者健康造成影响。</w:t>
      </w:r>
    </w:p>
    <w:p w14:paraId="07072E65">
      <w:pPr>
        <w:pStyle w:val="8"/>
        <w:keepNext w:val="0"/>
        <w:keepLines w:val="0"/>
        <w:pageBreakBefore w:val="0"/>
        <w:widowControl/>
        <w:numPr>
          <w:ilvl w:val="0"/>
          <w:numId w:val="0"/>
        </w:numPr>
        <w:kinsoku/>
        <w:wordWrap/>
        <w:overflowPunct/>
        <w:topLinePunct w:val="0"/>
        <w:autoSpaceDE/>
        <w:autoSpaceDN w:val="0"/>
        <w:bidi w:val="0"/>
        <w:adjustRightInd/>
        <w:snapToGrid/>
        <w:spacing w:line="600" w:lineRule="exact"/>
        <w:ind w:left="-10" w:leftChars="0" w:right="0" w:rightChars="0" w:firstLine="640" w:firstLineChars="0"/>
        <w:jc w:val="both"/>
        <w:textAlignment w:val="auto"/>
        <w:rPr>
          <w:rFonts w:hint="eastAsia" w:ascii="仿宋_GB2312" w:hAnsi="Calibri" w:eastAsia="仿宋_GB2312" w:cs="仿宋_GB2312"/>
          <w:i w:val="0"/>
          <w:caps w:val="0"/>
          <w:color w:val="000000"/>
          <w:spacing w:val="0"/>
          <w:kern w:val="0"/>
          <w:sz w:val="32"/>
          <w:szCs w:val="32"/>
          <w:shd w:val="clear" w:color="auto" w:fill="FFFFFF"/>
          <w:lang w:val="en-US" w:eastAsia="zh-CN" w:bidi="ar"/>
        </w:rPr>
      </w:pPr>
      <w:r>
        <w:rPr>
          <w:rFonts w:hint="eastAsia" w:ascii="仿宋_GB2312" w:hAnsi="Calibri" w:eastAsia="仿宋_GB2312" w:cs="仿宋_GB2312"/>
          <w:b/>
          <w:bCs/>
          <w:i w:val="0"/>
          <w:caps w:val="0"/>
          <w:color w:val="000000"/>
          <w:spacing w:val="0"/>
          <w:kern w:val="0"/>
          <w:sz w:val="32"/>
          <w:szCs w:val="32"/>
          <w:shd w:val="clear" w:color="auto" w:fill="FFFFFF"/>
          <w:lang w:val="en-US" w:eastAsia="zh-CN" w:bidi="ar"/>
        </w:rPr>
        <w:t>二、甲氧基肉桂酸乙基己酯</w:t>
      </w:r>
      <w:r>
        <w:rPr>
          <w:rFonts w:hint="eastAsia" w:ascii="仿宋_GB2312" w:hAnsi="Calibri" w:eastAsia="仿宋_GB2312" w:cs="仿宋_GB2312"/>
          <w:i w:val="0"/>
          <w:caps w:val="0"/>
          <w:color w:val="000000"/>
          <w:spacing w:val="0"/>
          <w:kern w:val="0"/>
          <w:sz w:val="32"/>
          <w:szCs w:val="32"/>
          <w:shd w:val="clear" w:color="auto" w:fill="FFFFFF"/>
          <w:lang w:val="en-US" w:eastAsia="zh-CN" w:bidi="ar"/>
        </w:rPr>
        <w:t>：属于化学防晒剂。是一种高度有效的紫外线UVB（中波红斑效应紫外线、户外紫外线）吸收剂，对皮肤的刺激性小，但属于一种皮肤渗透促进剂，很容易被皮肤吸收会干扰人类内分泌系统，在动物试验中观察到其对雌激素有所影响。</w:t>
      </w:r>
    </w:p>
    <w:p w14:paraId="0EF3766B">
      <w:pPr>
        <w:keepNext w:val="0"/>
        <w:keepLines w:val="0"/>
        <w:widowControl/>
        <w:suppressLineNumbers w:val="0"/>
        <w:ind w:firstLine="630" w:firstLineChars="200"/>
        <w:jc w:val="left"/>
        <w:rPr>
          <w:rFonts w:hint="default" w:eastAsia="仿宋_GB2312"/>
          <w:sz w:val="32"/>
          <w:szCs w:val="32"/>
          <w:lang w:val="en-US" w:eastAsia="zh-CN"/>
        </w:rPr>
      </w:pPr>
      <w:r>
        <w:rPr>
          <w:rFonts w:hint="eastAsia" w:eastAsia="仿宋_GB2312"/>
          <w:b/>
          <w:bCs/>
          <w:sz w:val="32"/>
          <w:szCs w:val="32"/>
          <w:lang w:val="en-US" w:eastAsia="zh-CN"/>
        </w:rPr>
        <w:t>三、</w:t>
      </w:r>
      <w:r>
        <w:rPr>
          <w:rFonts w:hint="default" w:eastAsia="仿宋_GB2312"/>
          <w:b/>
          <w:bCs/>
          <w:sz w:val="32"/>
          <w:szCs w:val="32"/>
          <w:lang w:val="en-US" w:eastAsia="zh-CN"/>
        </w:rPr>
        <w:t>二苯酮-3</w:t>
      </w:r>
      <w:r>
        <w:rPr>
          <w:rFonts w:hint="eastAsia" w:eastAsia="仿宋_GB2312"/>
          <w:b/>
          <w:bCs/>
          <w:sz w:val="32"/>
          <w:szCs w:val="32"/>
          <w:lang w:val="en-US" w:eastAsia="zh-CN"/>
        </w:rPr>
        <w:t>：</w:t>
      </w:r>
      <w:r>
        <w:rPr>
          <w:rFonts w:hint="default" w:eastAsia="仿宋_GB2312"/>
          <w:sz w:val="32"/>
          <w:szCs w:val="32"/>
          <w:lang w:val="en-US" w:eastAsia="zh-CN"/>
        </w:rPr>
        <w:t>二苯酮</w:t>
      </w:r>
      <w:r>
        <w:rPr>
          <w:rFonts w:hint="eastAsia" w:eastAsia="仿宋_GB2312"/>
          <w:sz w:val="32"/>
          <w:szCs w:val="32"/>
          <w:lang w:val="en-US" w:eastAsia="zh-CN"/>
        </w:rPr>
        <w:t>-</w:t>
      </w:r>
      <w:r>
        <w:rPr>
          <w:rFonts w:hint="default" w:eastAsia="仿宋_GB2312"/>
          <w:sz w:val="32"/>
          <w:szCs w:val="32"/>
          <w:lang w:val="en-US" w:eastAsia="zh-CN"/>
        </w:rPr>
        <w:t>3属于有机防晒剂，可吸收UVB</w:t>
      </w:r>
      <w:r>
        <w:rPr>
          <w:rFonts w:hint="eastAsia" w:eastAsia="仿宋_GB2312"/>
          <w:sz w:val="32"/>
          <w:szCs w:val="32"/>
          <w:lang w:val="en-US" w:eastAsia="zh-CN"/>
        </w:rPr>
        <w:t>及</w:t>
      </w:r>
      <w:r>
        <w:rPr>
          <w:rFonts w:hint="default" w:eastAsia="仿宋_GB2312"/>
          <w:sz w:val="32"/>
          <w:szCs w:val="32"/>
          <w:lang w:val="en-US" w:eastAsia="zh-CN"/>
        </w:rPr>
        <w:t>部分UVA</w:t>
      </w:r>
      <w:r>
        <w:rPr>
          <w:rFonts w:hint="eastAsia" w:eastAsia="仿宋_GB2312"/>
          <w:sz w:val="32"/>
          <w:szCs w:val="32"/>
          <w:lang w:val="en-US" w:eastAsia="zh-CN"/>
        </w:rPr>
        <w:t>（</w:t>
      </w:r>
      <w:r>
        <w:rPr>
          <w:rFonts w:hint="default" w:eastAsia="仿宋_GB2312"/>
          <w:sz w:val="32"/>
          <w:szCs w:val="32"/>
          <w:lang w:val="en-US" w:eastAsia="zh-CN"/>
        </w:rPr>
        <w:t>长波黑斑效应紫外线</w:t>
      </w:r>
      <w:r>
        <w:rPr>
          <w:rFonts w:hint="eastAsia" w:eastAsia="仿宋_GB2312"/>
          <w:sz w:val="32"/>
          <w:szCs w:val="32"/>
          <w:lang w:val="en-US" w:eastAsia="zh-CN"/>
        </w:rPr>
        <w:t>）</w:t>
      </w:r>
      <w:r>
        <w:rPr>
          <w:rFonts w:hint="default" w:eastAsia="仿宋_GB2312"/>
          <w:sz w:val="32"/>
          <w:szCs w:val="32"/>
          <w:lang w:val="en-US" w:eastAsia="zh-CN"/>
        </w:rPr>
        <w:t>波段</w:t>
      </w:r>
      <w:r>
        <w:rPr>
          <w:rFonts w:hint="eastAsia" w:eastAsia="仿宋_GB2312"/>
          <w:sz w:val="32"/>
          <w:szCs w:val="32"/>
          <w:lang w:val="en-US" w:eastAsia="zh-CN"/>
        </w:rPr>
        <w:t>，</w:t>
      </w:r>
      <w:r>
        <w:rPr>
          <w:rFonts w:hint="default" w:eastAsia="仿宋_GB2312"/>
          <w:sz w:val="32"/>
          <w:szCs w:val="32"/>
          <w:lang w:val="en-US" w:eastAsia="zh-CN"/>
        </w:rPr>
        <w:t>二苯酮</w:t>
      </w:r>
      <w:r>
        <w:rPr>
          <w:rFonts w:hint="eastAsia" w:eastAsia="仿宋_GB2312"/>
          <w:sz w:val="32"/>
          <w:szCs w:val="32"/>
          <w:lang w:val="en-US" w:eastAsia="zh-CN"/>
        </w:rPr>
        <w:t>-</w:t>
      </w:r>
      <w:r>
        <w:rPr>
          <w:rFonts w:hint="default" w:eastAsia="仿宋_GB2312"/>
          <w:sz w:val="32"/>
          <w:szCs w:val="32"/>
          <w:lang w:val="en-US" w:eastAsia="zh-CN"/>
        </w:rPr>
        <w:t>3由于亲脂性高的化学结构，容易透过皮肤进入人体血液循环，模拟雌激素的作用，</w:t>
      </w:r>
      <w:r>
        <w:rPr>
          <w:rFonts w:hint="eastAsia" w:eastAsia="仿宋_GB2312"/>
          <w:sz w:val="32"/>
          <w:szCs w:val="32"/>
          <w:lang w:val="en-US" w:eastAsia="zh-CN"/>
        </w:rPr>
        <w:t>扰乱</w:t>
      </w:r>
      <w:r>
        <w:rPr>
          <w:rFonts w:hint="default" w:eastAsia="仿宋_GB2312"/>
          <w:sz w:val="32"/>
          <w:szCs w:val="32"/>
          <w:lang w:val="en-US" w:eastAsia="zh-CN"/>
        </w:rPr>
        <w:t>激素系统</w:t>
      </w:r>
      <w:r>
        <w:rPr>
          <w:rFonts w:hint="eastAsia" w:eastAsia="仿宋_GB2312"/>
          <w:sz w:val="32"/>
          <w:szCs w:val="32"/>
          <w:lang w:val="en-US" w:eastAsia="zh-CN"/>
        </w:rPr>
        <w:t>，且有刺激性，易引起皮肤过敏</w:t>
      </w:r>
      <w:r>
        <w:rPr>
          <w:rFonts w:hint="default" w:eastAsia="仿宋_GB2312"/>
          <w:sz w:val="32"/>
          <w:szCs w:val="32"/>
          <w:lang w:val="en-US" w:eastAsia="zh-CN"/>
        </w:rPr>
        <w:t>。</w:t>
      </w:r>
    </w:p>
    <w:p w14:paraId="3941E50F">
      <w:pPr>
        <w:keepNext w:val="0"/>
        <w:keepLines w:val="0"/>
        <w:widowControl/>
        <w:suppressLineNumbers w:val="0"/>
        <w:ind w:firstLine="630" w:firstLineChars="200"/>
        <w:jc w:val="left"/>
        <w:rPr>
          <w:rFonts w:hint="eastAsia" w:eastAsia="仿宋_GB2312"/>
          <w:sz w:val="32"/>
          <w:szCs w:val="32"/>
          <w:lang w:val="en-US" w:eastAsia="zh-CN"/>
        </w:rPr>
      </w:pPr>
      <w:r>
        <w:rPr>
          <w:rFonts w:hint="eastAsia" w:eastAsia="仿宋_GB2312"/>
          <w:b/>
          <w:bCs/>
          <w:sz w:val="32"/>
          <w:szCs w:val="32"/>
          <w:lang w:val="en-US" w:eastAsia="zh-CN"/>
        </w:rPr>
        <w:t>四、</w:t>
      </w:r>
      <w:r>
        <w:rPr>
          <w:rFonts w:hint="default" w:eastAsia="仿宋_GB2312"/>
          <w:b/>
          <w:bCs/>
          <w:sz w:val="32"/>
          <w:szCs w:val="32"/>
          <w:lang w:val="en-US" w:eastAsia="zh-CN"/>
        </w:rPr>
        <w:t>丁基甲氧基二苯甲酰基甲烷</w:t>
      </w:r>
      <w:r>
        <w:rPr>
          <w:rFonts w:hint="eastAsia" w:eastAsia="仿宋_GB2312"/>
          <w:b/>
          <w:bCs/>
          <w:sz w:val="32"/>
          <w:szCs w:val="32"/>
          <w:lang w:val="en-US" w:eastAsia="zh-CN"/>
        </w:rPr>
        <w:t>：</w:t>
      </w:r>
      <w:r>
        <w:rPr>
          <w:rFonts w:hint="eastAsia" w:eastAsia="仿宋_GB2312"/>
          <w:sz w:val="32"/>
          <w:szCs w:val="32"/>
          <w:lang w:val="en-US" w:eastAsia="zh-CN"/>
        </w:rPr>
        <w:t>又名阿伏苯宗，是迄</w:t>
      </w:r>
      <w:r>
        <w:rPr>
          <w:rFonts w:hint="default" w:eastAsia="仿宋_GB2312"/>
          <w:sz w:val="32"/>
          <w:szCs w:val="32"/>
          <w:lang w:val="en-US" w:eastAsia="zh-CN"/>
        </w:rPr>
        <w:t>今为止吸收峰波长最长的有机防晒剂之一</w:t>
      </w:r>
      <w:r>
        <w:rPr>
          <w:rFonts w:hint="eastAsia" w:eastAsia="仿宋_GB2312"/>
          <w:sz w:val="32"/>
          <w:szCs w:val="32"/>
          <w:lang w:val="en-US" w:eastAsia="zh-CN"/>
        </w:rPr>
        <w:t>。因其光、热稳定性较</w:t>
      </w:r>
      <w:r>
        <w:rPr>
          <w:rFonts w:hint="default" w:eastAsia="仿宋_GB2312"/>
          <w:sz w:val="32"/>
          <w:szCs w:val="32"/>
          <w:lang w:val="en-US" w:eastAsia="zh-CN"/>
        </w:rPr>
        <w:t>差，在恒温加速的防晒化妆品乳液体系中</w:t>
      </w:r>
      <w:r>
        <w:rPr>
          <w:rFonts w:hint="eastAsia" w:eastAsia="仿宋_GB2312"/>
          <w:sz w:val="32"/>
          <w:szCs w:val="32"/>
          <w:lang w:val="en-US" w:eastAsia="zh-CN"/>
        </w:rPr>
        <w:t>存在异构体转变的情况，</w:t>
      </w:r>
      <w:r>
        <w:rPr>
          <w:rFonts w:hint="default" w:eastAsia="仿宋_GB2312"/>
          <w:sz w:val="32"/>
          <w:szCs w:val="32"/>
          <w:lang w:val="en-US" w:eastAsia="zh-CN"/>
        </w:rPr>
        <w:t>持续阳光曝晒会减少其阻挡UVA的功效，</w:t>
      </w:r>
      <w:r>
        <w:rPr>
          <w:rFonts w:hint="eastAsia" w:eastAsia="仿宋_GB2312"/>
          <w:sz w:val="32"/>
          <w:szCs w:val="32"/>
          <w:lang w:val="en-US" w:eastAsia="zh-CN"/>
        </w:rPr>
        <w:t>导致防</w:t>
      </w:r>
      <w:r>
        <w:rPr>
          <w:rFonts w:hint="default" w:eastAsia="仿宋_GB2312"/>
          <w:sz w:val="32"/>
          <w:szCs w:val="32"/>
          <w:lang w:val="en-US" w:eastAsia="zh-CN"/>
        </w:rPr>
        <w:t>晒品的防晒效果无法持久</w:t>
      </w:r>
      <w:r>
        <w:rPr>
          <w:rFonts w:hint="eastAsia" w:eastAsia="仿宋_GB2312"/>
          <w:sz w:val="32"/>
          <w:szCs w:val="32"/>
          <w:lang w:val="en-US" w:eastAsia="zh-CN"/>
        </w:rPr>
        <w:t>，通常与其他防晒剂如奥克立林一同使用达到稳定防晒作用。</w:t>
      </w:r>
    </w:p>
    <w:p w14:paraId="088E1B8E">
      <w:pPr>
        <w:ind w:firstLine="630" w:firstLineChars="200"/>
        <w:rPr>
          <w:rFonts w:hint="default" w:ascii="仿宋_GB2312" w:hAnsi="仿宋_GB2312" w:eastAsia="仿宋_GB2312" w:cs="仿宋_GB2312"/>
          <w:sz w:val="32"/>
          <w:szCs w:val="32"/>
          <w:lang w:val="en-US" w:eastAsia="zh-CN"/>
        </w:rPr>
      </w:pPr>
      <w:r>
        <w:rPr>
          <w:rFonts w:hint="eastAsia" w:eastAsia="仿宋_GB2312"/>
          <w:b/>
          <w:bCs/>
          <w:sz w:val="32"/>
          <w:szCs w:val="32"/>
          <w:lang w:val="en-US" w:eastAsia="zh-CN"/>
        </w:rPr>
        <w:t>五、成分比对：</w:t>
      </w:r>
      <w:r>
        <w:rPr>
          <w:rFonts w:hint="eastAsia" w:eastAsia="仿宋_GB2312"/>
          <w:b w:val="0"/>
          <w:bCs w:val="0"/>
          <w:sz w:val="32"/>
          <w:szCs w:val="32"/>
          <w:lang w:val="en-US" w:eastAsia="zh-CN"/>
        </w:rPr>
        <w:t>未检出产品标签及注册资料载明的技术要求标示的防晒剂可能导致产品防晒效果不达标或不具备防晒效果。</w:t>
      </w:r>
    </w:p>
    <w:bookmarkEnd w:id="0"/>
    <w:p w14:paraId="20C76E09">
      <w:pPr>
        <w:ind w:firstLine="654" w:firstLineChars="200"/>
        <w:jc w:val="both"/>
        <w:outlineLvl w:val="0"/>
        <w:rPr>
          <w:rFonts w:hint="default" w:ascii="仿宋_GB2312" w:hAnsi="仿宋_GB2312" w:eastAsia="仿宋_GB2312" w:cs="仿宋_GB2312"/>
          <w:color w:val="auto"/>
          <w:spacing w:val="0"/>
          <w:sz w:val="32"/>
          <w:szCs w:val="32"/>
          <w:lang w:val="en-US" w:eastAsia="zh-CN"/>
        </w:rPr>
      </w:pPr>
    </w:p>
    <w:sectPr>
      <w:footerReference r:id="rId5" w:type="default"/>
      <w:footerReference r:id="rId6" w:type="even"/>
      <w:type w:val="continuous"/>
      <w:pgSz w:w="11850" w:h="16783"/>
      <w:pgMar w:top="2098" w:right="1474" w:bottom="1984" w:left="1587" w:header="851" w:footer="850" w:gutter="0"/>
      <w:paperSrc/>
      <w:pgBorders>
        <w:top w:val="none" w:sz="0" w:space="0"/>
        <w:left w:val="none" w:sz="0" w:space="0"/>
        <w:bottom w:val="none" w:sz="0" w:space="0"/>
        <w:right w:val="none" w:sz="0" w:space="0"/>
      </w:pgBorders>
      <w:cols w:space="720" w:num="1"/>
      <w:docGrid w:type="linesAndChars" w:linePitch="579" w:charSpace="1616"/>
    </w:sectPr>
  </w:body>
</w:document>
</file>

<file path=word/customizations.xml><?xml version="1.0" encoding="utf-8"?>
<wne:tcg xmlns:r="http://schemas.openxmlformats.org/officeDocument/2006/relationships" xmlns:wne="http://schemas.microsoft.com/office/word/2006/wordml">
  <wne:keymaps>
    <wne:keymap wne:kcmPrimary="0234">
      <wne:acd wne:acdName="acd0"/>
    </wne:keymap>
  </wne:keymaps>
  <wne:acds>
    <wne:acd wne:argValue="AQAAAAA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07A3C">
    <w:pPr>
      <w:pStyle w:val="2"/>
      <w:wordWrap w:val="0"/>
      <w:ind w:right="308" w:rightChars="100"/>
      <w:jc w:val="right"/>
      <w:rPr>
        <w:rFonts w:hint="eastAsia" w:ascii="楷体_GB2312" w:eastAsia="楷体_GB2312"/>
        <w:sz w:val="28"/>
      </w:rPr>
    </w:pPr>
    <w:r>
      <w:rPr>
        <w:rStyle w:val="6"/>
        <w:rFonts w:hint="eastAsia" w:ascii="宋体" w:hAnsi="宋体" w:eastAsia="宋体" w:cs="宋体"/>
        <w:sz w:val="28"/>
      </w:rPr>
      <w:t xml:space="preserve">- </w:t>
    </w:r>
    <w:r>
      <w:rPr>
        <w:rFonts w:hint="eastAsia" w:ascii="宋体" w:hAnsi="宋体" w:eastAsia="宋体" w:cs="宋体"/>
        <w:sz w:val="28"/>
      </w:rPr>
      <w:fldChar w:fldCharType="begin"/>
    </w:r>
    <w:r>
      <w:rPr>
        <w:rStyle w:val="6"/>
        <w:rFonts w:hint="eastAsia" w:ascii="宋体" w:hAnsi="宋体" w:eastAsia="宋体" w:cs="宋体"/>
        <w:sz w:val="28"/>
      </w:rPr>
      <w:instrText xml:space="preserve"> PAGE </w:instrText>
    </w:r>
    <w:r>
      <w:rPr>
        <w:rFonts w:hint="eastAsia" w:ascii="宋体" w:hAnsi="宋体" w:eastAsia="宋体" w:cs="宋体"/>
        <w:sz w:val="28"/>
      </w:rPr>
      <w:fldChar w:fldCharType="separate"/>
    </w:r>
    <w:r>
      <w:rPr>
        <w:rStyle w:val="6"/>
        <w:rFonts w:ascii="宋体" w:hAnsi="宋体" w:eastAsia="宋体" w:cs="宋体"/>
        <w:sz w:val="28"/>
        <w:lang/>
      </w:rPr>
      <w:t>1</w:t>
    </w:r>
    <w:r>
      <w:rPr>
        <w:rFonts w:hint="eastAsia" w:ascii="宋体" w:hAnsi="宋体" w:eastAsia="宋体" w:cs="宋体"/>
        <w:sz w:val="28"/>
      </w:rPr>
      <w:fldChar w:fldCharType="end"/>
    </w:r>
    <w:r>
      <w:rPr>
        <w:rFonts w:hint="eastAsia" w:ascii="宋体" w:hAnsi="宋体" w:eastAsia="宋体" w:cs="宋体"/>
        <w:sz w:val="28"/>
      </w:rPr>
      <w:t xml:space="preserve"> </w:t>
    </w:r>
    <w:r>
      <w:rPr>
        <w:rStyle w:val="6"/>
        <w:rFonts w:hint="eastAsia" w:ascii="宋体" w:hAnsi="宋体" w:eastAsia="宋体" w:cs="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B144">
    <w:pPr>
      <w:pStyle w:val="2"/>
      <w:ind w:left="308" w:leftChars="100"/>
      <w:rPr>
        <w:rFonts w:hint="eastAsia" w:ascii="宋体" w:hAnsi="宋体" w:eastAsia="宋体" w:cs="宋体"/>
        <w:sz w:val="28"/>
      </w:rPr>
    </w:pPr>
    <w:r>
      <w:rPr>
        <w:rStyle w:val="6"/>
        <w:rFonts w:hint="eastAsia" w:ascii="宋体" w:hAnsi="宋体" w:eastAsia="宋体" w:cs="宋体"/>
        <w:sz w:val="28"/>
      </w:rPr>
      <w:t xml:space="preserve">- </w:t>
    </w:r>
    <w:r>
      <w:rPr>
        <w:rFonts w:hint="eastAsia" w:ascii="宋体" w:hAnsi="宋体" w:eastAsia="宋体" w:cs="宋体"/>
        <w:sz w:val="28"/>
      </w:rPr>
      <w:fldChar w:fldCharType="begin"/>
    </w:r>
    <w:r>
      <w:rPr>
        <w:rStyle w:val="6"/>
        <w:rFonts w:hint="eastAsia" w:ascii="宋体" w:hAnsi="宋体" w:eastAsia="宋体" w:cs="宋体"/>
        <w:sz w:val="28"/>
      </w:rPr>
      <w:instrText xml:space="preserve"> PAGE </w:instrText>
    </w:r>
    <w:r>
      <w:rPr>
        <w:rFonts w:hint="eastAsia" w:ascii="宋体" w:hAnsi="宋体" w:eastAsia="宋体" w:cs="宋体"/>
        <w:sz w:val="28"/>
      </w:rPr>
      <w:fldChar w:fldCharType="separate"/>
    </w:r>
    <w:r>
      <w:rPr>
        <w:rStyle w:val="6"/>
        <w:rFonts w:ascii="宋体" w:hAnsi="宋体" w:eastAsia="宋体" w:cs="宋体"/>
        <w:sz w:val="28"/>
        <w:lang/>
      </w:rPr>
      <w:t>2</w:t>
    </w:r>
    <w:r>
      <w:rPr>
        <w:rFonts w:hint="eastAsia" w:ascii="宋体" w:hAnsi="宋体" w:eastAsia="宋体" w:cs="宋体"/>
        <w:sz w:val="28"/>
      </w:rPr>
      <w:fldChar w:fldCharType="end"/>
    </w:r>
    <w:r>
      <w:rPr>
        <w:rFonts w:hint="eastAsia" w:ascii="宋体" w:hAnsi="宋体" w:eastAsia="宋体" w:cs="宋体"/>
        <w:sz w:val="28"/>
      </w:rPr>
      <w:t xml:space="preserve"> </w:t>
    </w:r>
    <w:r>
      <w:rPr>
        <w:rStyle w:val="6"/>
        <w:rFonts w:hint="eastAsia" w:ascii="宋体" w:hAnsi="宋体" w:eastAsia="宋体" w:cs="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readOnly" w:enforcement="0"/>
  <w:defaultTabStop w:val="720"/>
  <w:hyphenationZone w:val="360"/>
  <w:drawingGridHorizontalSpacing w:val="158"/>
  <w:drawingGridVerticalSpacing w:val="579"/>
  <w:displayHorizontalDrawingGridEvery w:val="2"/>
  <w:displayVerticalDrawingGridEvery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hMTgwZjU4YzBmNDVmODNlMDNjZjRkYWI2YzEzMDgifQ=="/>
    <w:docVar w:name="iDocStyle" w:val="2"/>
  </w:docVars>
  <w:rsids>
    <w:rsidRoot w:val="00172A27"/>
    <w:rsid w:val="004960C6"/>
    <w:rsid w:val="060C48B9"/>
    <w:rsid w:val="092B2DFE"/>
    <w:rsid w:val="16993B63"/>
    <w:rsid w:val="17334159"/>
    <w:rsid w:val="19E994F4"/>
    <w:rsid w:val="1B0B284D"/>
    <w:rsid w:val="21A7662F"/>
    <w:rsid w:val="231704F5"/>
    <w:rsid w:val="2F4B7E26"/>
    <w:rsid w:val="2F812825"/>
    <w:rsid w:val="34463D78"/>
    <w:rsid w:val="378C5324"/>
    <w:rsid w:val="38E7717D"/>
    <w:rsid w:val="3C026413"/>
    <w:rsid w:val="3DFA1F60"/>
    <w:rsid w:val="3FDC63A8"/>
    <w:rsid w:val="3FED2694"/>
    <w:rsid w:val="4FBF9734"/>
    <w:rsid w:val="54287047"/>
    <w:rsid w:val="5F814D87"/>
    <w:rsid w:val="5FD551B9"/>
    <w:rsid w:val="6C8614E6"/>
    <w:rsid w:val="6CF3712A"/>
    <w:rsid w:val="72210599"/>
    <w:rsid w:val="76BC154F"/>
    <w:rsid w:val="7F3723AD"/>
    <w:rsid w:val="7F6F0003"/>
    <w:rsid w:val="8B936500"/>
    <w:rsid w:val="97FFEE74"/>
    <w:rsid w:val="DF7E976D"/>
    <w:rsid w:val="F7BED45E"/>
    <w:rsid w:val="FCF1D6AB"/>
    <w:rsid w:val="FDEE4825"/>
    <w:rsid w:val="FF3FE4E8"/>
    <w:rsid w:val="FFFDE0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tLeast"/>
      <w:jc w:val="both"/>
    </w:pPr>
    <w:rPr>
      <w:rFonts w:eastAsia="仿宋_GB2312"/>
      <w:spacing w:val="-6"/>
      <w:kern w:val="2"/>
      <w:sz w:val="32"/>
      <w:lang w:val="en-US" w:eastAsia="zh-CN" w:bidi="ar-SA"/>
    </w:rPr>
  </w:style>
  <w:style w:type="character" w:default="1" w:styleId="5">
    <w:name w:val="Default Paragraph Font"/>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3">
    <w:name w:val="header"/>
    <w:basedOn w:val="1"/>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character" w:styleId="6">
    <w:name w:val="page number"/>
    <w:basedOn w:val="5"/>
    <w:uiPriority w:val="0"/>
  </w:style>
  <w:style w:type="character" w:styleId="7">
    <w:name w:val="line number"/>
    <w:basedOn w:val="5"/>
    <w:uiPriority w:val="0"/>
  </w:style>
  <w:style w:type="paragraph" w:customStyle="1" w:styleId="8">
    <w:name w:val="正文 New"/>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Dong\AppData\Local\Kingsoft\WPS%20Office\12.1.0.17142\office6\notice.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notice.wpt</Template>
  <Company>rjsoft</Company>
  <Pages>2</Pages>
  <Words>2919</Words>
  <Characters>3157</Characters>
  <Lines>1</Lines>
  <Paragraphs>1</Paragraphs>
  <TotalTime>35.3333333333333</TotalTime>
  <ScaleCrop>false</ScaleCrop>
  <LinksUpToDate>false</LinksUpToDate>
  <CharactersWithSpaces>3267</CharactersWithSpaces>
  <Application>WPS Office_12.1.0.17142_F1E327BC-269C-435d-A152-05C5408002CA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2015-11-13T16:46:00Z</dcterms:created>
  <dc:creator>ADMIN/LISHUI</dc:creator>
  <cp:lastModifiedBy>李冬</cp:lastModifiedBy>
  <cp:lastPrinted>2022-01-01T13:04:04Z</cp:lastPrinted>
  <dcterms:modified xsi:type="dcterms:W3CDTF">2024-09-13T09:50:55Z</dcterms:modified>
  <dc:title>No:0000001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2052-12.1.0.17142</vt:lpwstr>
  </property>
  <property fmtid="{D5CDD505-2E9C-101B-9397-08002B2CF9AE}" pid="3" name="ICV">
    <vt:lpwstr>DF7496492354496689982674540AEDAE_13</vt:lpwstr>
  </property>
</Properties>
</file>