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02" w:tblpY="2238"/>
        <w:tblOverlap w:val="never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27"/>
        <w:gridCol w:w="4920"/>
        <w:gridCol w:w="1395"/>
        <w:gridCol w:w="1005"/>
        <w:gridCol w:w="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63" w:type="dxa"/>
            <w:vAlign w:val="top"/>
          </w:tcPr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类别</w:t>
            </w: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验收项目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验收内容及程序</w:t>
            </w:r>
          </w:p>
        </w:tc>
        <w:tc>
          <w:tcPr>
            <w:tcW w:w="1395" w:type="dxa"/>
            <w:vAlign w:val="top"/>
          </w:tcPr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验收结果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确认人</w:t>
            </w: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763" w:type="dxa"/>
            <w:vMerge w:val="restart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办公用品</w:t>
            </w: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1 数量验收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1.1 收到物资数量是否与合同要求数量相符。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 xml:space="preserve">2 标识 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办公用品应有明显标志。</w:t>
            </w: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2.1 制造厂名称或商标。是否与合同要求相符。</w:t>
            </w:r>
          </w:p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2.2.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产品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制造日期(年、月、日)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，特别商品除外。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3 合格证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 xml:space="preserve">3.1 </w:t>
            </w:r>
            <w:bookmarkStart w:id="0" w:name="_GoBack"/>
            <w:bookmarkEnd w:id="0"/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配送产品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必须注明产品名称、规格型号、标准号码、出厂日期，并加盖检验章。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4 检验报告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4.1 提供“合格的”检验报告单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或出厂证明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。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符合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有关国标、行业标准等的有关理化指标技术要求参数。(复印件必须加盖单位公章红章有效)。</w:t>
            </w:r>
          </w:p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 xml:space="preserve">5 外观验收 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5.1 实物是否与要求的品种、规格相符。</w:t>
            </w:r>
          </w:p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5.2 目测外观质量。(无受潮、无散包、无损坏)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</w:tbl>
    <w:p>
      <w:pPr>
        <w:jc w:val="center"/>
        <w:rPr>
          <w:rFonts w:hint="eastAsia" w:eastAsiaTheme="minorEastAsia"/>
          <w:position w:val="-25"/>
          <w:sz w:val="24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6"/>
          <w:szCs w:val="36"/>
          <w:lang w:eastAsia="zh-CN"/>
        </w:rPr>
        <w:t>产品验收要求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A6BBC"/>
    <w:rsid w:val="117F63C4"/>
    <w:rsid w:val="3C710A09"/>
    <w:rsid w:val="4E686A95"/>
    <w:rsid w:val="777F8F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Founder</dc:creator>
  <cp:lastModifiedBy>陈婷</cp:lastModifiedBy>
  <cp:lastPrinted>2023-10-18T10:38:29Z</cp:lastPrinted>
  <dcterms:modified xsi:type="dcterms:W3CDTF">2023-10-19T09:43:47Z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