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bidi w:val="0"/>
        <w:adjustRightInd/>
        <w:spacing w:line="580" w:lineRule="exact"/>
        <w:jc w:val="center"/>
        <w:textAlignment w:val="auto"/>
        <w:rPr>
          <w:rFonts w:hint="eastAsia" w:ascii="Times New Roman" w:hAnsi="Mongolian Baiti" w:eastAsia="方正小标宋简体" w:cs="Mongolian Baiti"/>
          <w:bCs/>
          <w:color w:val="000000"/>
          <w:sz w:val="44"/>
          <w:szCs w:val="44"/>
          <w:lang w:eastAsia="zh-CN"/>
        </w:rPr>
      </w:pPr>
      <w:r>
        <w:rPr>
          <w:rFonts w:hint="eastAsia" w:ascii="Times New Roman" w:hAnsi="Mongolian Baiti" w:eastAsia="方正小标宋简体" w:cs="Mongolian Baiti"/>
          <w:bCs/>
          <w:color w:val="000000"/>
          <w:sz w:val="44"/>
          <w:szCs w:val="44"/>
          <w:lang w:eastAsia="zh-CN"/>
        </w:rPr>
        <w:t>福建省药品监督</w:t>
      </w:r>
      <w:r>
        <w:rPr>
          <w:rFonts w:hint="eastAsia" w:ascii="Times New Roman" w:hAnsi="Mongolian Baiti" w:eastAsia="方正小标宋简体" w:cs="Mongolian Baiti"/>
          <w:bCs/>
          <w:color w:val="000000"/>
          <w:sz w:val="44"/>
          <w:szCs w:val="44"/>
        </w:rPr>
        <w:t>管理局</w:t>
      </w:r>
    </w:p>
    <w:p>
      <w:pPr>
        <w:keepNext w:val="0"/>
        <w:keepLines w:val="0"/>
        <w:pageBreakBefore w:val="0"/>
        <w:kinsoku/>
        <w:overflowPunct/>
        <w:topLinePunct w:val="0"/>
        <w:bidi w:val="0"/>
        <w:adjustRightInd/>
        <w:spacing w:line="580" w:lineRule="exact"/>
        <w:jc w:val="center"/>
        <w:textAlignment w:val="auto"/>
        <w:rPr>
          <w:rFonts w:ascii="Times New Roman" w:hAnsi="Times New Roman" w:eastAsia="方正小标宋简体" w:cs="Mongolian Baiti"/>
          <w:bCs/>
          <w:color w:val="000000"/>
          <w:sz w:val="44"/>
          <w:szCs w:val="44"/>
        </w:rPr>
      </w:pPr>
      <w:r>
        <w:rPr>
          <w:rFonts w:ascii="Times New Roman" w:hAnsi="Mongolian Baiti" w:eastAsia="方正小标宋简体" w:cs="Mongolian Baiti"/>
          <w:bCs/>
          <w:color w:val="000000"/>
          <w:sz w:val="44"/>
          <w:szCs w:val="44"/>
        </w:rPr>
        <w:t>行政处罚决定书</w:t>
      </w:r>
    </w:p>
    <w:p>
      <w:pPr>
        <w:keepNext w:val="0"/>
        <w:keepLines w:val="0"/>
        <w:pageBreakBefore w:val="0"/>
        <w:widowControl/>
        <w:kinsoku/>
        <w:overflowPunct/>
        <w:topLinePunct w:val="0"/>
        <w:bidi w:val="0"/>
        <w:adjustRightInd/>
        <w:snapToGrid w:val="0"/>
        <w:spacing w:line="580" w:lineRule="exact"/>
        <w:ind w:right="55"/>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闽药监明稽办处罚〔2024〕1</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号</w:t>
      </w:r>
    </w:p>
    <w:p>
      <w:pPr>
        <w:keepNext w:val="0"/>
        <w:keepLines w:val="0"/>
        <w:pageBreakBefore w:val="0"/>
        <w:widowControl/>
        <w:kinsoku/>
        <w:overflowPunct/>
        <w:topLinePunct w:val="0"/>
        <w:bidi w:val="0"/>
        <w:adjustRightInd/>
        <w:snapToGrid w:val="0"/>
        <w:spacing w:line="580" w:lineRule="exact"/>
        <w:ind w:right="55"/>
        <w:jc w:val="center"/>
        <w:textAlignment w:val="auto"/>
        <w:rPr>
          <w:rFonts w:hint="eastAsia"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mc:AlternateContent>
          <mc:Choice Requires="wps">
            <w:drawing>
              <wp:anchor distT="0" distB="0" distL="114300" distR="114300" simplePos="0" relativeHeight="251659264" behindDoc="0" locked="0" layoutInCell="1" allowOverlap="0">
                <wp:simplePos x="0" y="0"/>
                <wp:positionH relativeFrom="column">
                  <wp:posOffset>-38100</wp:posOffset>
                </wp:positionH>
                <wp:positionV relativeFrom="paragraph">
                  <wp:posOffset>20802600</wp:posOffset>
                </wp:positionV>
                <wp:extent cx="5761990" cy="0"/>
                <wp:effectExtent l="0" t="9525" r="13970" b="13335"/>
                <wp:wrapNone/>
                <wp:docPr id="1" name="直接箭头连接符 1"/>
                <wp:cNvGraphicFramePr/>
                <a:graphic xmlns:a="http://schemas.openxmlformats.org/drawingml/2006/main">
                  <a:graphicData uri="http://schemas.microsoft.com/office/word/2010/wordprocessingShape">
                    <wps:wsp>
                      <wps:cNvCnPr/>
                      <wps:spPr>
                        <a:xfrm>
                          <a:off x="0" y="0"/>
                          <a:ext cx="5761990" cy="0"/>
                        </a:xfrm>
                        <a:prstGeom prst="straightConnector1">
                          <a:avLst/>
                        </a:prstGeom>
                        <a:ln w="19050" cap="flat" cmpd="sng">
                          <a:solidFill>
                            <a:srgbClr val="000000"/>
                          </a:solidFill>
                          <a:prstDash val="solid"/>
                          <a:headEnd type="none" w="med" len="med"/>
                          <a:tailEnd type="none" w="med" len="med"/>
                        </a:ln>
                      </wps:spPr>
                      <wps:txbx>
                        <w:txbxContent>
                          <w:p>
                            <w:pPr>
                              <w:wordWrap w:val="0"/>
                              <w:rPr>
                                <w:rFonts w:ascii="宋体" w:hAnsi="宋体"/>
                                <w:sz w:val="20"/>
                                <w:szCs w:val="20"/>
                              </w:rPr>
                            </w:pPr>
                          </w:p>
                        </w:txbxContent>
                      </wps:txbx>
                      <wps:bodyPr/>
                    </wps:wsp>
                  </a:graphicData>
                </a:graphic>
              </wp:anchor>
            </w:drawing>
          </mc:Choice>
          <mc:Fallback>
            <w:pict>
              <v:shape id="_x0000_s1026" o:spid="_x0000_s1026" o:spt="32" type="#_x0000_t32" style="position:absolute;left:0pt;margin-left:-3pt;margin-top:1638pt;height:0pt;width:453.7pt;z-index:251659264;mso-width-relative:page;mso-height-relative:page;" filled="f" stroked="t" coordsize="21600,21600" o:allowoverlap="f" o:gfxdata="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4Ky1v9YAAAAMAQAADwAA&#10;AAAAAAABACAAAAA4AAAAZHJzL2Rvd25yZXYueG1sUEsBAhQAFAAAAAgAh07iQMQobx0CAgAA+AMA&#10;AA4AAAAAAAAAAQAgAAAAOwEAAGRycy9lMm9Eb2MueG1sUEsFBgAAAAAGAAYAWQEAAK8FAAAAAA==&#10;">
                <v:fill on="f" focussize="0,0"/>
                <v:stroke weight="1.5pt" color="#000000" joinstyle="round"/>
                <v:imagedata o:title=""/>
                <o:lock v:ext="edit" aspectratio="f"/>
                <v:textbox>
                  <w:txbxContent>
                    <w:p>
                      <w:pPr>
                        <w:wordWrap w:val="0"/>
                        <w:rPr>
                          <w:rFonts w:ascii="宋体" w:hAnsi="宋体"/>
                          <w:sz w:val="20"/>
                          <w:szCs w:val="20"/>
                        </w:rPr>
                      </w:pPr>
                    </w:p>
                  </w:txbxContent>
                </v:textbox>
              </v:shape>
            </w:pict>
          </mc:Fallback>
        </mc:AlternateConten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当事人：</w:t>
      </w:r>
      <w:r>
        <w:rPr>
          <w:rFonts w:hint="eastAsia" w:ascii="仿宋_GB2312" w:hAnsi="仿宋_GB2312" w:eastAsia="仿宋_GB2312" w:cs="仿宋_GB2312"/>
          <w:bCs/>
          <w:color w:val="0D0D0D" w:themeColor="text1" w:themeTint="F2"/>
          <w:sz w:val="32"/>
          <w:szCs w:val="32"/>
          <w14:textFill>
            <w14:solidFill>
              <w14:schemeClr w14:val="tx1">
                <w14:lumMod w14:val="95000"/>
                <w14:lumOff w14:val="5000"/>
              </w14:schemeClr>
            </w14:solidFill>
          </w14:textFill>
        </w:rPr>
        <w:t>福建省源容生物科技有限公司</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主体资格证照名称：营业执照</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统一社会信用代码：</w:t>
      </w:r>
      <w:r>
        <w:rPr>
          <w:rFonts w:hint="eastAsia" w:ascii="仿宋_GB2312" w:hAnsi="仿宋_GB2312" w:eastAsia="仿宋_GB2312" w:cs="仿宋_GB2312"/>
          <w:bCs/>
          <w:color w:val="0D0D0D" w:themeColor="text1" w:themeTint="F2"/>
          <w:sz w:val="32"/>
          <w:szCs w:val="32"/>
          <w14:textFill>
            <w14:solidFill>
              <w14:schemeClr w14:val="tx1">
                <w14:lumMod w14:val="95000"/>
                <w14:lumOff w14:val="5000"/>
              </w14:schemeClr>
            </w14:solidFill>
          </w14:textFill>
        </w:rPr>
        <w:t>913504305653724421</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住所：***</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法定代表人：</w:t>
      </w:r>
      <w:r>
        <w:rPr>
          <w:rFonts w:hint="eastAsia" w:ascii="仿宋_GB2312" w:hAnsi="仿宋_GB2312" w:eastAsia="仿宋_GB2312" w:cs="仿宋_GB2312"/>
          <w:bCs/>
          <w:color w:val="0D0D0D" w:themeColor="text1" w:themeTint="F2"/>
          <w:sz w:val="32"/>
          <w:szCs w:val="32"/>
          <w14:textFill>
            <w14:solidFill>
              <w14:schemeClr w14:val="tx1">
                <w14:lumMod w14:val="95000"/>
                <w14:lumOff w14:val="5000"/>
              </w14:schemeClr>
            </w14:solidFill>
          </w14:textFill>
        </w:rPr>
        <w:t>李自全</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身份证号码：***</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2024年7月17日，我局收到《三明市市场监督管理局关于福建省源容生物科技有限公司原森堂健发防脱皂有关情况的告知函》。该函称，三明市市场监督管理局在化妆品网络监管中发现火爆化妆品招商网（网址：http://m.5588.tv/yrsw/）中，标示福建省源容生物科技有限公司的产品原森堂健发防脱皂宣称“固发防脱、强韧发丝”。此后，我局组织执法人员对当事人进行现场检查，对相关人员进行询问调查。2024年7月29日，我局对当事人涉嫌生产未经注册的原森堂全能防脱洗发皂等特殊化妆品的行为予以立案调查。</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经查，2021年5月6日，当事人在其住所地福建建宁经济开发区腾飞南路2号生产标有“健发防脱”字样、批号为20210506、规格为110±5g/盒的健发防脱洗发皂（又称“原森堂全能防脱洗发皂”）408盒，后于2021年12月20日至2023年9月28日期间以每盒</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～***元的价格销售给建宁县</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公司、建宁县</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商行等单位和个人，得款8698.24元；2021年5月8日，当事人生产标示产品功能为“健发防脱”、批号为20210508、规格为110±5g/盒的原森堂防脱洗发皂（又称“原森堂CS防脱洗发皂”）50盒，后于2022年7月18日至2023年9月28日期间以每盒</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w:t>
      </w:r>
      <w:bookmarkStart w:id="0" w:name="_GoBack"/>
      <w:bookmarkEnd w:id="0"/>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元的价格销售给李</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*等个人，得款970.38元。上述两种产品未经国家药品监督管理局注册，货值金额共计9668.62元。</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另查，2023年10月18日，当事人以“存在生产许可不合规问题”为由，向建宁县</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公司、建宁县</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商行等下游客户发出上述两种产品的召回通知，因下游客户已将上述两种产品全部售出或使用，未实际召回。2023年11月20日，当事人对尚未使用的上述两种产品外包装盒进行了销毁处理。</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上述事实，主要有以下证据证明：</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1.当事人的《营业执照》《化妆品生产许可证》复印件，证明当事人具有案件主体资格和生产普通化妆品的资质。</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2.三明市市场监督管理局关于福建省源容生物科技有限公司原森堂健发防脱皂有关情况的告知函，证明案件来源。</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3.询问笔录、涉案产品外包装盒照片、火爆化妆品招商网网站截图、当事人批生产记录、销售订单、销售订单明细表、建宁县</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公司证明等，证明当事人生产的健发防脱洗发皂、原森堂防脱洗发皂宣称具有防脱发功效。</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4.询问笔录、国家药品监督管理局网站数据查询截图等，证明当事人生产的健发防脱洗发皂、原森堂防脱洗发皂未经国家药品监督管理局注册。</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default"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5.现场笔录、询问笔录、当事人批生产记录、销售订单、销售订单明细表、物料出入库明细台账、应收账款明细表、增值税普通发票、情况说明等，证明涉案产品的生产数量、销售单价、货值金额等。</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6.当事人产品召回通知、产品召回记录、产品召回总结报告，建宁县</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公司、建宁县</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商行产品召回客户回复函等，证明当事人积极采取召回措施。</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2024年10月16日，我局依法向当事人送达行政处罚告知书（闽药监明稽办罚告〔2024〕15号），告知当事人我局拟作出的行政处罚内容及事实、理由、依据，并告知当事人依法享有的陈述、申辩、要求听证等权利。当事人在法定期限内未提出陈述、申辩意见，未要求听证。</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我局认为，当事人生产的健发防脱洗发皂、原森堂防脱洗发皂因宣称具有防脱发功效，依据《化妆品监督管理条例》第十六条第一款、第七十七条第二款的规定，属于特殊化妆品。当事人生产未经国家药品监督管理局注册的健发防脱洗发皂、原森堂防脱洗发皂的行为，违反了《化妆品监督管理条例》第十七条规定，构成生产未经注册的特殊化妆品行为。</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鉴于当事人在案发前积极</w:t>
      </w:r>
      <w:r>
        <w:rPr>
          <w:rFonts w:hint="default"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采取召回措施</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，符合《福建省药品监管行政处罚裁量适用细则》第十一条第一款第（十）项</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规定的情形，</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当事人</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具有可以从轻或者减轻行政处罚的情节。鉴于</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当事人生产销售违法</w:t>
      </w:r>
      <w:r>
        <w:rPr>
          <w:rFonts w:hint="default"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行为持续六个月以上</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，符合《福建省药品监管行政处罚裁量适用细则》第十三条第一款第（</w:t>
      </w:r>
      <w:r>
        <w:rPr>
          <w:rFonts w:hint="default"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八</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）项</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规定的情形，当事人具有</w:t>
      </w:r>
      <w:r>
        <w:rPr>
          <w:rFonts w:hint="default"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可以从重行政处罚</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的情节</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综合以上情节，根据《福建省药品监管行政处罚裁量适用细则》第十一条第一款第（十）项、第十三条第一款第（八）项、第十五条第二款以及《福建省化妆品行政处罚裁量基准（试行）》第HZP-3项的规定，本案对当事人的违法行为予以一般处罚。</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综上，当事人上述行为违反了《化妆品监督管理条例》第十七条规定，依据《中华人民共和国行政处罚法》第二十八条第一款、《化妆品监督管理条例》第五十九条第（二）项的规定，并参照《福建省化妆品行政处罚裁量基准（试行）》第HZP-3项之“一般处罚”标准的规定，现责令当事人改</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正上述违法行为，并决定处罚如下：</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1.</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没收违法所得</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9668.62元</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2.罚款100000元</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上述罚没款合计</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109668.62</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元（壹拾万</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玖仟陆佰陆拾捌元陆角贰分</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w:t>
      </w:r>
    </w:p>
    <w:p>
      <w:pPr>
        <w:pStyle w:val="14"/>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事人应当自收到本行政处罚决定书之日起十五日内，缴纳上述罚没款。当事人根据本局开具的《福建省非税收收入缴款通知书》，自行选择缴款方式。到期不缴纳罚款的，依据《中华人民共和国行政处罚法》第七十二条的规定，本局将每日按罚款数额的百分之三加处罚款，并依法申请人民法院强制执行。</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如你单位不服本行政处罚决定，可以在收到本行政处罚决定书之日起六十日内向福建省人民政府申请行政复议；也可以在六个月内依法向福州市鼓楼区人民法院提起行政诉讼。申请行政复议或者提起行政诉讼期间，行政处罚不停止执行。</w:t>
      </w:r>
    </w:p>
    <w:p>
      <w:pPr>
        <w:keepNext w:val="0"/>
        <w:keepLines w:val="0"/>
        <w:pageBreakBefore w:val="0"/>
        <w:widowControl/>
        <w:kinsoku/>
        <w:wordWrap w:val="0"/>
        <w:overflowPunct/>
        <w:topLinePunct w:val="0"/>
        <w:autoSpaceDE/>
        <w:autoSpaceDN/>
        <w:bidi w:val="0"/>
        <w:adjustRightInd/>
        <w:snapToGrid w:val="0"/>
        <w:spacing w:line="240" w:lineRule="auto"/>
        <w:jc w:val="left"/>
        <w:textAlignment w:val="auto"/>
        <w:rPr>
          <w:rFonts w:hint="eastAsia" w:ascii="Times New Roman" w:hAnsi="Times New Roman" w:eastAsia="仿宋_GB2312" w:cs="仿宋_GB2312"/>
          <w:color w:val="000000"/>
          <w:sz w:val="32"/>
          <w:szCs w:val="32"/>
        </w:rPr>
      </w:pPr>
    </w:p>
    <w:p>
      <w:pPr>
        <w:keepNext w:val="0"/>
        <w:keepLines w:val="0"/>
        <w:pageBreakBefore w:val="0"/>
        <w:widowControl/>
        <w:kinsoku/>
        <w:wordWrap w:val="0"/>
        <w:overflowPunct/>
        <w:topLinePunct w:val="0"/>
        <w:autoSpaceDE/>
        <w:autoSpaceDN/>
        <w:bidi w:val="0"/>
        <w:adjustRightInd/>
        <w:snapToGrid w:val="0"/>
        <w:spacing w:line="240" w:lineRule="auto"/>
        <w:jc w:val="left"/>
        <w:textAlignment w:val="auto"/>
        <w:rPr>
          <w:rFonts w:hint="eastAsia" w:ascii="Times New Roman" w:hAnsi="Times New Roman" w:eastAsia="仿宋_GB2312" w:cs="仿宋_GB2312"/>
          <w:color w:val="000000"/>
          <w:sz w:val="32"/>
          <w:szCs w:val="32"/>
        </w:rPr>
      </w:pPr>
    </w:p>
    <w:p>
      <w:pPr>
        <w:keepNext w:val="0"/>
        <w:keepLines w:val="0"/>
        <w:pageBreakBefore w:val="0"/>
        <w:widowControl/>
        <w:kinsoku/>
        <w:wordWrap w:val="0"/>
        <w:overflowPunct/>
        <w:topLinePunct w:val="0"/>
        <w:autoSpaceDE/>
        <w:autoSpaceDN/>
        <w:bidi w:val="0"/>
        <w:adjustRightInd/>
        <w:snapToGrid w:val="0"/>
        <w:spacing w:line="240" w:lineRule="auto"/>
        <w:jc w:val="left"/>
        <w:textAlignment w:val="auto"/>
        <w:rPr>
          <w:rFonts w:hint="eastAsia" w:ascii="Times New Roman" w:hAnsi="Times New Roman" w:eastAsia="仿宋_GB2312" w:cs="仿宋_GB2312"/>
          <w:color w:val="000000"/>
          <w:sz w:val="32"/>
          <w:szCs w:val="32"/>
        </w:rPr>
      </w:pP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default"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Times New Roman" w:hAnsi="Times New Roman" w:eastAsia="仿宋_GB2312" w:cs="仿宋_GB2312"/>
          <w:color w:val="000000"/>
          <w:sz w:val="32"/>
          <w:szCs w:val="32"/>
          <w:lang w:val="en-US" w:eastAsia="zh-CN"/>
        </w:rPr>
        <w:t xml:space="preserve">             </w:t>
      </w:r>
      <w:r>
        <w:rPr>
          <w:rFonts w:hint="eastAsia" w:ascii="仿宋_GB2312" w:hAnsi="仿宋_GB2312" w:eastAsia="仿宋_GB2312" w:cs="仿宋_GB2312"/>
          <w:bCs/>
          <w:color w:val="auto"/>
          <w:sz w:val="32"/>
          <w:szCs w:val="32"/>
          <w:u w:val="none"/>
          <w:lang w:val="en-US" w:eastAsia="zh-CN"/>
        </w:rPr>
        <w:t xml:space="preserve">       </w:t>
      </w:r>
      <w:r>
        <w:rPr>
          <w:rFonts w:hint="default" w:ascii="仿宋_GB2312" w:hAnsi="仿宋_GB2312" w:eastAsia="仿宋_GB2312" w:cs="仿宋_GB2312"/>
          <w:bCs/>
          <w:color w:val="auto"/>
          <w:sz w:val="32"/>
          <w:szCs w:val="32"/>
          <w:u w:val="none"/>
          <w:lang w:val="en" w:eastAsia="zh-CN"/>
        </w:rPr>
        <w:t xml:space="preserve">  </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福建省药品监督管理局</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 xml:space="preserve">     </w:t>
      </w: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4496" w:firstLineChars="1405"/>
        <w:jc w:val="both"/>
        <w:textAlignment w:val="auto"/>
        <w:rPr>
          <w:rFonts w:hint="default"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2024</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年</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10</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月</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24</w:t>
      </w:r>
      <w:r>
        <w:rPr>
          <w:rFonts w:hint="eastAsia" w:ascii="仿宋_GB2312" w:hAnsi="仿宋_GB2312" w:eastAsia="仿宋_GB2312" w:cs="仿宋_GB2312"/>
          <w:bCs/>
          <w:color w:val="0D0D0D" w:themeColor="text1" w:themeTint="F2"/>
          <w:sz w:val="32"/>
          <w:szCs w:val="32"/>
          <w:lang w:val="zh-CN" w:eastAsia="zh-CN"/>
          <w14:textFill>
            <w14:solidFill>
              <w14:schemeClr w14:val="tx1">
                <w14:lumMod w14:val="95000"/>
                <w14:lumOff w14:val="5000"/>
              </w14:schemeClr>
            </w14:solidFill>
          </w14:textFill>
        </w:rPr>
        <w:t>日</w: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 xml:space="preserve">    </w:t>
      </w:r>
    </w:p>
    <w:p>
      <w:pPr>
        <w:keepNext w:val="0"/>
        <w:keepLines w:val="0"/>
        <w:pageBreakBefore w:val="0"/>
        <w:kinsoku/>
        <w:wordWrap w:val="0"/>
        <w:overflowPunct/>
        <w:topLinePunct w:val="0"/>
        <w:autoSpaceDE/>
        <w:autoSpaceDN/>
        <w:bidi w:val="0"/>
        <w:adjustRightInd/>
        <w:spacing w:line="580" w:lineRule="exact"/>
        <w:ind w:right="1280" w:firstLine="600"/>
        <w:jc w:val="left"/>
        <w:textAlignment w:val="auto"/>
        <w:rPr>
          <w:rFonts w:hint="eastAsia" w:ascii="仿宋_GB2312" w:hAnsi="Times New Roman" w:eastAsia="仿宋_GB2312" w:cs="仿宋"/>
          <w:color w:val="000000"/>
          <w:sz w:val="32"/>
          <w:szCs w:val="32"/>
        </w:rPr>
      </w:pPr>
    </w:p>
    <w:p>
      <w:pPr>
        <w:keepNext w:val="0"/>
        <w:keepLines w:val="0"/>
        <w:pageBreakBefore w:val="0"/>
        <w:kinsoku/>
        <w:wordWrap w:val="0"/>
        <w:overflowPunct/>
        <w:topLinePunct w:val="0"/>
        <w:autoSpaceDE/>
        <w:autoSpaceDN/>
        <w:bidi w:val="0"/>
        <w:adjustRightInd/>
        <w:spacing w:line="580" w:lineRule="exact"/>
        <w:ind w:right="1280" w:firstLine="600"/>
        <w:jc w:val="left"/>
        <w:textAlignment w:val="auto"/>
        <w:rPr>
          <w:rFonts w:hint="eastAsia" w:ascii="仿宋_GB2312" w:hAnsi="Times New Roman" w:eastAsia="仿宋_GB2312" w:cs="仿宋"/>
          <w:color w:val="000000"/>
          <w:sz w:val="32"/>
          <w:szCs w:val="32"/>
        </w:rPr>
      </w:pPr>
    </w:p>
    <w:p>
      <w:pPr>
        <w:keepNext w:val="0"/>
        <w:keepLines w:val="0"/>
        <w:pageBreakBefore w:val="0"/>
        <w:kinsoku/>
        <w:wordWrap w:val="0"/>
        <w:overflowPunct/>
        <w:topLinePunct w:val="0"/>
        <w:autoSpaceDE/>
        <w:autoSpaceDN/>
        <w:bidi w:val="0"/>
        <w:adjustRightInd/>
        <w:spacing w:line="580" w:lineRule="exact"/>
        <w:ind w:right="1280" w:firstLine="600"/>
        <w:jc w:val="left"/>
        <w:textAlignment w:val="auto"/>
        <w:rPr>
          <w:rFonts w:hint="eastAsia" w:ascii="仿宋_GB2312" w:hAnsi="Times New Roman" w:eastAsia="仿宋_GB2312" w:cs="仿宋"/>
          <w:color w:val="000000"/>
          <w:sz w:val="32"/>
          <w:szCs w:val="32"/>
        </w:rPr>
      </w:pPr>
    </w:p>
    <w:p>
      <w:pPr>
        <w:keepNext w:val="0"/>
        <w:keepLines w:val="0"/>
        <w:pageBreakBefore w:val="0"/>
        <w:kinsoku/>
        <w:wordWrap w:val="0"/>
        <w:overflowPunct/>
        <w:topLinePunct w:val="0"/>
        <w:autoSpaceDE/>
        <w:autoSpaceDN/>
        <w:bidi w:val="0"/>
        <w:adjustRightInd/>
        <w:spacing w:line="580" w:lineRule="exact"/>
        <w:ind w:right="1280" w:firstLine="600"/>
        <w:jc w:val="left"/>
        <w:textAlignment w:val="auto"/>
        <w:rPr>
          <w:rFonts w:hint="eastAsia" w:ascii="仿宋_GB2312" w:hAnsi="Times New Roman" w:eastAsia="仿宋_GB2312" w:cs="仿宋"/>
          <w:color w:val="000000"/>
          <w:sz w:val="32"/>
          <w:szCs w:val="32"/>
        </w:rPr>
      </w:pPr>
    </w:p>
    <w:p>
      <w:pPr>
        <w:keepNext w:val="0"/>
        <w:keepLines w:val="0"/>
        <w:pageBreakBefore w:val="0"/>
        <w:kinsoku/>
        <w:wordWrap w:val="0"/>
        <w:overflowPunct/>
        <w:topLinePunct w:val="0"/>
        <w:autoSpaceDE/>
        <w:autoSpaceDN/>
        <w:bidi w:val="0"/>
        <w:adjustRightInd/>
        <w:spacing w:line="580" w:lineRule="exact"/>
        <w:ind w:right="1280" w:firstLine="600"/>
        <w:jc w:val="left"/>
        <w:textAlignment w:val="auto"/>
        <w:rPr>
          <w:rFonts w:hint="eastAsia" w:ascii="仿宋_GB2312" w:hAnsi="Times New Roman" w:eastAsia="仿宋_GB2312" w:cs="仿宋"/>
          <w:color w:val="000000"/>
          <w:sz w:val="32"/>
          <w:szCs w:val="32"/>
        </w:rPr>
      </w:pPr>
    </w:p>
    <w:p>
      <w:pPr>
        <w:keepNext w:val="0"/>
        <w:keepLines w:val="0"/>
        <w:pageBreakBefore w:val="0"/>
        <w:widowControl w:val="0"/>
        <w:shd w:val="clear" w:color="auto" w:fill="FFFFFF"/>
        <w:kinsoku/>
        <w:overflowPunct/>
        <w:topLinePunct w:val="0"/>
        <w:autoSpaceDE/>
        <w:autoSpaceDN/>
        <w:bidi w:val="0"/>
        <w:adjustRightInd/>
        <w:snapToGrid/>
        <w:spacing w:line="600" w:lineRule="exact"/>
        <w:ind w:firstLine="641"/>
        <w:jc w:val="both"/>
        <w:textAlignment w:val="auto"/>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我局将依法向社会公开行政处罚决定信息</w:t>
      </w:r>
    </w:p>
    <w:p>
      <w:pPr>
        <w:keepNext w:val="0"/>
        <w:keepLines w:val="0"/>
        <w:pageBreakBefore w:val="0"/>
        <w:kinsoku/>
        <w:wordWrap w:val="0"/>
        <w:overflowPunct/>
        <w:topLinePunct w:val="0"/>
        <w:autoSpaceDE/>
        <w:autoSpaceDN/>
        <w:bidi w:val="0"/>
        <w:adjustRightInd/>
        <w:spacing w:before="156" w:beforeLines="50" w:line="580" w:lineRule="exact"/>
        <w:ind w:firstLine="640" w:firstLineChars="200"/>
        <w:jc w:val="left"/>
        <w:textAlignment w:val="auto"/>
        <w:rPr>
          <w:rFonts w:hint="eastAsia" w:ascii="Times New Roman" w:hAnsi="Times New Roman" w:eastAsia="仿宋_GB2312" w:cs="Mongolian Baiti"/>
          <w:bCs/>
          <w:sz w:val="32"/>
          <w:szCs w:val="32"/>
        </w:rPr>
      </w:pP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mc:AlternateContent>
          <mc:Choice Requires="wps">
            <w:drawing>
              <wp:anchor distT="0" distB="0" distL="114300" distR="114300" simplePos="0" relativeHeight="251662336" behindDoc="0" locked="0" layoutInCell="1" allowOverlap="1">
                <wp:simplePos x="0" y="0"/>
                <wp:positionH relativeFrom="column">
                  <wp:posOffset>29210</wp:posOffset>
                </wp:positionH>
                <wp:positionV relativeFrom="paragraph">
                  <wp:posOffset>95250</wp:posOffset>
                </wp:positionV>
                <wp:extent cx="5550535" cy="635"/>
                <wp:effectExtent l="0" t="7620" r="12065" b="14605"/>
                <wp:wrapNone/>
                <wp:docPr id="4" name="直线 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2.3pt;margin-top:7.5pt;height:0.05pt;width:437.05pt;z-index:251662336;mso-width-relative:page;mso-height-relative:page;" filled="f" stroked="t" coordsize="21600,21600" o:gfxdata="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CFk5bl1gAAAAcBAAAPAAAAAAAAAAEAIAAAADgAAABkcnMvZG93bnJl&#10;di54bWxQSwECFAAUAAAACACHTuJAnfJDuOkBAADeAwAADgAAAAAAAAABACAAAAA7AQAAZHJzL2Uy&#10;b0RvYy54bWxQSwUGAAAAAAYABgBZAQAAlgUAAAAA&#10;">
                <v:fill on="f" focussize="0,0"/>
                <v:stroke weight="1.25pt" color="#000000" joinstyle="round"/>
                <v:imagedata o:title=""/>
                <o:lock v:ext="edit" aspectratio="f"/>
              </v:line>
            </w:pict>
          </mc:Fallback>
        </mc:AlternateConten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3" name="图像2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图像25"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i+/zkdcAAAAKAQAADwAAAAAAAAABACAAAAA4AAAAZHJzL2Rv&#10;d25yZXYueG1sUEsBAhQAFAAAAAgAh07iQLzxjhPsAQAA3AMAAA4AAAAAAAAAAQAgAAAAPAEAAGRy&#10;cy9lMm9Eb2MueG1sUEsFBgAAAAAGAAYAWQEAAJoFAAAAAA==&#10;">
                <v:fill on="f" focussize="0,0"/>
                <v:stroke weight="0.737007874015748pt" color="#000000" joinstyle="round" endcap="square"/>
                <v:imagedata o:title=""/>
                <o:lock v:ext="edit" aspectratio="f"/>
              </v:line>
            </w:pict>
          </mc:Fallback>
        </mc:AlternateContent>
      </w:r>
      <w:r>
        <w:rPr>
          <w:rFonts w:hint="eastAsia" w:ascii="仿宋_GB2312" w:hAnsi="仿宋_GB2312" w:eastAsia="仿宋_GB2312" w:cs="仿宋_GB2312"/>
          <w:bCs/>
          <w:color w:val="0D0D0D" w:themeColor="text1" w:themeTint="F2"/>
          <w:sz w:val="32"/>
          <w:szCs w:val="32"/>
          <w:lang w:val="en-US" w:eastAsia="zh-CN"/>
          <w14:textFill>
            <w14:solidFill>
              <w14:schemeClr w14:val="tx1">
                <w14:lumMod w14:val="95000"/>
                <w14:lumOff w14:val="5000"/>
              </w14:schemeClr>
            </w14:solidFill>
          </w14:textFill>
        </w:rPr>
        <w:t>本文书一式两份，一份送达，一份归档。</w:t>
      </w:r>
      <w:r>
        <w:rPr>
          <w:rFonts w:ascii="Times New Roman" w:hAnsi="Times New Roman" w:eastAsia="仿宋_GB2312" w:cs="仿宋"/>
          <w:bCs/>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 name="图像2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图像25" o:spid="_x0000_s1026" o:spt="20" style="position:absolute;left:0pt;margin-left:0pt;margin-top:1638.35pt;height:0.1pt;width:453.75pt;z-index:251660288;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CL7/OR1wAAAAoBAAAPAAAAAAAAAAEAIAAAADgAAABkcnMvZG93&#10;bnJldi54bWxQSwECFAAUAAAACACHTuJAu1qV3esBAADcAwAADgAAAAAAAAABACAAAAA8AQAAZHJz&#10;L2Uyb0RvYy54bWxQSwUGAAAAAAYABgBZAQAAmQUAAAAA&#10;">
                <v:fill on="f" focussize="0,0"/>
                <v:stroke weight="0.737007874015748pt" color="#000000" joinstyle="round" endcap="square"/>
                <v:imagedata o:title=""/>
                <o:lock v:ext="edit" aspectratio="f"/>
              </v:line>
            </w:pict>
          </mc:Fallback>
        </mc:AlternateContent>
      </w:r>
    </w:p>
    <w:sectPr>
      <w:footerReference r:id="rId3" w:type="default"/>
      <w:pgSz w:w="11906" w:h="16838"/>
      <w:pgMar w:top="1701" w:right="1701" w:bottom="1984" w:left="1701"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34"/>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Mangal">
    <w:altName w:val="Noto Sans Syriac Eastern"/>
    <w:panose1 w:val="02040503050203030202"/>
    <w:charset w:val="00"/>
    <w:family w:val="roman"/>
    <w:pitch w:val="default"/>
    <w:sig w:usb0="00000000" w:usb1="00000000" w:usb2="00000000" w:usb3="00000000" w:csb0="00000001" w:csb1="00000000"/>
  </w:font>
  <w:font w:name="Noto Sans Syriac Eastern">
    <w:panose1 w:val="02040503050306020203"/>
    <w:charset w:val="86"/>
    <w:family w:val="auto"/>
    <w:pitch w:val="default"/>
    <w:sig w:usb0="00000000" w:usb1="00000000" w:usb2="00000080" w:usb3="00000000" w:csb0="203E0161" w:csb1="D7FF0000"/>
  </w:font>
  <w:font w:name="Arial Unicode MS">
    <w:altName w:val="DejaVu Sans"/>
    <w:panose1 w:val="020B0604020202020204"/>
    <w:charset w:val="86"/>
    <w:family w:val="swiss"/>
    <w:pitch w:val="default"/>
    <w:sig w:usb0="00000000" w:usb1="00000000" w:usb2="0000003F" w:usb3="00000000" w:csb0="003F01FF" w:csb1="00000000"/>
  </w:font>
  <w:font w:name="方正黑体_GBK">
    <w:panose1 w:val="02000000000000000000"/>
    <w:charset w:val="86"/>
    <w:family w:val="auto"/>
    <w:pitch w:val="default"/>
    <w:sig w:usb0="00000001" w:usb1="08000000" w:usb2="00000000" w:usb3="00000000" w:csb0="00040000" w:csb1="00000000"/>
  </w:font>
  <w:font w:name="Mongolian Baiti">
    <w:altName w:val="DejaVu Math TeX Gyre"/>
    <w:panose1 w:val="03000500000000000000"/>
    <w:charset w:val="00"/>
    <w:family w:val="script"/>
    <w:pitch w:val="default"/>
    <w:sig w:usb0="00000000" w:usb1="00000000" w:usb2="0002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DO&#10;qXm5zwAAAAUBAAAPAAAAAAAAAAEAIAAAADgAAABkcnMvZG93bnJldi54bWxQSwECFAAUAAAACACH&#10;TuJAsWh6UN4BAAC+AwAADgAAAAAAAAABACAAAAA0AQAAZHJzL2Uyb0RvYy54bWxQSwUGAAAAAAYA&#10;BgBZAQAAhAUAA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5NGFkZDU5ZmZlYWEzMjJlNjQwNDQ4NTcxOWMwNDUifQ=="/>
  </w:docVars>
  <w:rsids>
    <w:rsidRoot w:val="00094473"/>
    <w:rsid w:val="00094473"/>
    <w:rsid w:val="000F0415"/>
    <w:rsid w:val="00196A4C"/>
    <w:rsid w:val="001E527E"/>
    <w:rsid w:val="00221E4C"/>
    <w:rsid w:val="003A0DEB"/>
    <w:rsid w:val="003D25F3"/>
    <w:rsid w:val="003D30C2"/>
    <w:rsid w:val="003D5204"/>
    <w:rsid w:val="0042254C"/>
    <w:rsid w:val="004A156F"/>
    <w:rsid w:val="00515BD1"/>
    <w:rsid w:val="00571C67"/>
    <w:rsid w:val="005D3D1F"/>
    <w:rsid w:val="00637F79"/>
    <w:rsid w:val="006476C4"/>
    <w:rsid w:val="006A04BA"/>
    <w:rsid w:val="006B7E7C"/>
    <w:rsid w:val="007B1B9C"/>
    <w:rsid w:val="0081434C"/>
    <w:rsid w:val="008554D2"/>
    <w:rsid w:val="008632C9"/>
    <w:rsid w:val="00931A06"/>
    <w:rsid w:val="009C2E48"/>
    <w:rsid w:val="009C6AB9"/>
    <w:rsid w:val="00AA0596"/>
    <w:rsid w:val="00AA5FAB"/>
    <w:rsid w:val="00B75120"/>
    <w:rsid w:val="00BA5E27"/>
    <w:rsid w:val="00BF16AD"/>
    <w:rsid w:val="00C14B91"/>
    <w:rsid w:val="00C9254B"/>
    <w:rsid w:val="00CC612E"/>
    <w:rsid w:val="00DD312F"/>
    <w:rsid w:val="00DE4BEA"/>
    <w:rsid w:val="00DF26E3"/>
    <w:rsid w:val="00E358D8"/>
    <w:rsid w:val="00E77F3D"/>
    <w:rsid w:val="00E81F4B"/>
    <w:rsid w:val="00EA588F"/>
    <w:rsid w:val="00FA00A3"/>
    <w:rsid w:val="00FB7C24"/>
    <w:rsid w:val="00FC1BE2"/>
    <w:rsid w:val="01F43178"/>
    <w:rsid w:val="024F323C"/>
    <w:rsid w:val="04320033"/>
    <w:rsid w:val="04566B35"/>
    <w:rsid w:val="0501099C"/>
    <w:rsid w:val="05181C4E"/>
    <w:rsid w:val="051E6510"/>
    <w:rsid w:val="0526590B"/>
    <w:rsid w:val="05551621"/>
    <w:rsid w:val="055850E6"/>
    <w:rsid w:val="05C76C6C"/>
    <w:rsid w:val="060F45F1"/>
    <w:rsid w:val="067919F3"/>
    <w:rsid w:val="06FA2D9D"/>
    <w:rsid w:val="071E3AD2"/>
    <w:rsid w:val="072169C9"/>
    <w:rsid w:val="0731788A"/>
    <w:rsid w:val="07352E25"/>
    <w:rsid w:val="078347FD"/>
    <w:rsid w:val="08372738"/>
    <w:rsid w:val="088813E5"/>
    <w:rsid w:val="08E6788B"/>
    <w:rsid w:val="08EA0861"/>
    <w:rsid w:val="096A703F"/>
    <w:rsid w:val="09B63701"/>
    <w:rsid w:val="0A183EA3"/>
    <w:rsid w:val="0A6C2012"/>
    <w:rsid w:val="0ACC5CE4"/>
    <w:rsid w:val="0B0A1CFD"/>
    <w:rsid w:val="0D215336"/>
    <w:rsid w:val="0EEF4FBF"/>
    <w:rsid w:val="0F5C23DB"/>
    <w:rsid w:val="0F6C12D3"/>
    <w:rsid w:val="0FB7564B"/>
    <w:rsid w:val="1084661B"/>
    <w:rsid w:val="10C744D5"/>
    <w:rsid w:val="116B66FC"/>
    <w:rsid w:val="11EA77E2"/>
    <w:rsid w:val="122E7774"/>
    <w:rsid w:val="12961B39"/>
    <w:rsid w:val="134D0B0C"/>
    <w:rsid w:val="13A02D2C"/>
    <w:rsid w:val="14E1696C"/>
    <w:rsid w:val="14E510A2"/>
    <w:rsid w:val="157401EC"/>
    <w:rsid w:val="15D90A9B"/>
    <w:rsid w:val="15E50ECA"/>
    <w:rsid w:val="16924BAE"/>
    <w:rsid w:val="19E82D37"/>
    <w:rsid w:val="19F65E80"/>
    <w:rsid w:val="1A045DC3"/>
    <w:rsid w:val="1A1A63CC"/>
    <w:rsid w:val="1AC87306"/>
    <w:rsid w:val="1BF27EB8"/>
    <w:rsid w:val="1BF74CF0"/>
    <w:rsid w:val="1CE617B0"/>
    <w:rsid w:val="1D200581"/>
    <w:rsid w:val="1D470F8D"/>
    <w:rsid w:val="1E9A3881"/>
    <w:rsid w:val="1EAD6E74"/>
    <w:rsid w:val="1F4A3D62"/>
    <w:rsid w:val="2044711D"/>
    <w:rsid w:val="204B3CD0"/>
    <w:rsid w:val="213A47C0"/>
    <w:rsid w:val="21F6641D"/>
    <w:rsid w:val="22240068"/>
    <w:rsid w:val="229B303C"/>
    <w:rsid w:val="230F5234"/>
    <w:rsid w:val="23F20755"/>
    <w:rsid w:val="247A1A0A"/>
    <w:rsid w:val="24CD76F9"/>
    <w:rsid w:val="24FC3F2A"/>
    <w:rsid w:val="25657932"/>
    <w:rsid w:val="2587793A"/>
    <w:rsid w:val="263317DE"/>
    <w:rsid w:val="263D17E2"/>
    <w:rsid w:val="265B022B"/>
    <w:rsid w:val="27080190"/>
    <w:rsid w:val="276C1EAB"/>
    <w:rsid w:val="27B50987"/>
    <w:rsid w:val="28D66F4D"/>
    <w:rsid w:val="28DD2FF5"/>
    <w:rsid w:val="290F6532"/>
    <w:rsid w:val="2A8B373B"/>
    <w:rsid w:val="2AFC3B5F"/>
    <w:rsid w:val="2B8562DB"/>
    <w:rsid w:val="2C120586"/>
    <w:rsid w:val="2C4C275D"/>
    <w:rsid w:val="2C6425AF"/>
    <w:rsid w:val="2CAD10F9"/>
    <w:rsid w:val="2D6F57F1"/>
    <w:rsid w:val="2E3D64AF"/>
    <w:rsid w:val="2ED9664D"/>
    <w:rsid w:val="2FB60B70"/>
    <w:rsid w:val="30923401"/>
    <w:rsid w:val="30A118B3"/>
    <w:rsid w:val="30A637F9"/>
    <w:rsid w:val="30E969DB"/>
    <w:rsid w:val="31172428"/>
    <w:rsid w:val="3264344B"/>
    <w:rsid w:val="32DA195F"/>
    <w:rsid w:val="33240E2C"/>
    <w:rsid w:val="332C49EE"/>
    <w:rsid w:val="33A409D5"/>
    <w:rsid w:val="33D26ADA"/>
    <w:rsid w:val="34341FE5"/>
    <w:rsid w:val="34A00986"/>
    <w:rsid w:val="34DD1293"/>
    <w:rsid w:val="35116358"/>
    <w:rsid w:val="35510312"/>
    <w:rsid w:val="35975E07"/>
    <w:rsid w:val="35CB688D"/>
    <w:rsid w:val="366559E4"/>
    <w:rsid w:val="37455D24"/>
    <w:rsid w:val="37560CF1"/>
    <w:rsid w:val="3799120B"/>
    <w:rsid w:val="37CA01F4"/>
    <w:rsid w:val="382252CF"/>
    <w:rsid w:val="382316B2"/>
    <w:rsid w:val="3887314C"/>
    <w:rsid w:val="3AC10268"/>
    <w:rsid w:val="3C30439E"/>
    <w:rsid w:val="3C5F4C83"/>
    <w:rsid w:val="3C857BDC"/>
    <w:rsid w:val="3C924995"/>
    <w:rsid w:val="3C99459C"/>
    <w:rsid w:val="3CA64660"/>
    <w:rsid w:val="3CBE304D"/>
    <w:rsid w:val="3CE80DBE"/>
    <w:rsid w:val="3E1E6A1B"/>
    <w:rsid w:val="3E432886"/>
    <w:rsid w:val="3E532531"/>
    <w:rsid w:val="3E660E2E"/>
    <w:rsid w:val="3E6C5ED5"/>
    <w:rsid w:val="3E9C5F8A"/>
    <w:rsid w:val="3EB2553E"/>
    <w:rsid w:val="3F0D4E6A"/>
    <w:rsid w:val="3FAE21A9"/>
    <w:rsid w:val="3FC93E53"/>
    <w:rsid w:val="3FCC7A57"/>
    <w:rsid w:val="40442B0E"/>
    <w:rsid w:val="41EF0857"/>
    <w:rsid w:val="4264390D"/>
    <w:rsid w:val="42836F88"/>
    <w:rsid w:val="43071720"/>
    <w:rsid w:val="43374264"/>
    <w:rsid w:val="4363365F"/>
    <w:rsid w:val="43BD5DE5"/>
    <w:rsid w:val="44906321"/>
    <w:rsid w:val="44C3378F"/>
    <w:rsid w:val="44D502D5"/>
    <w:rsid w:val="455945C3"/>
    <w:rsid w:val="45B846D6"/>
    <w:rsid w:val="46D52935"/>
    <w:rsid w:val="47BA490B"/>
    <w:rsid w:val="480035AC"/>
    <w:rsid w:val="48F771EB"/>
    <w:rsid w:val="49153299"/>
    <w:rsid w:val="4937624A"/>
    <w:rsid w:val="49F71FC9"/>
    <w:rsid w:val="4A2221E4"/>
    <w:rsid w:val="4A5226FF"/>
    <w:rsid w:val="4AA30431"/>
    <w:rsid w:val="4B1E0BDC"/>
    <w:rsid w:val="4BA775C9"/>
    <w:rsid w:val="4BA91A77"/>
    <w:rsid w:val="4BBA585E"/>
    <w:rsid w:val="4C431F1C"/>
    <w:rsid w:val="4CBB4158"/>
    <w:rsid w:val="4D007DBC"/>
    <w:rsid w:val="4D7B0486"/>
    <w:rsid w:val="4DC96400"/>
    <w:rsid w:val="4DD454D1"/>
    <w:rsid w:val="4ECE20D4"/>
    <w:rsid w:val="4FCA13BF"/>
    <w:rsid w:val="503924E6"/>
    <w:rsid w:val="50C430A3"/>
    <w:rsid w:val="50D13F4A"/>
    <w:rsid w:val="5126501D"/>
    <w:rsid w:val="512C73D2"/>
    <w:rsid w:val="516C3C72"/>
    <w:rsid w:val="52363FC7"/>
    <w:rsid w:val="52814FE8"/>
    <w:rsid w:val="52CC2C1B"/>
    <w:rsid w:val="532F2D81"/>
    <w:rsid w:val="536009F8"/>
    <w:rsid w:val="53B4545D"/>
    <w:rsid w:val="5402441A"/>
    <w:rsid w:val="54532EC8"/>
    <w:rsid w:val="54CC38FF"/>
    <w:rsid w:val="55FB7373"/>
    <w:rsid w:val="563A792E"/>
    <w:rsid w:val="563F445F"/>
    <w:rsid w:val="57A001D2"/>
    <w:rsid w:val="58087C8A"/>
    <w:rsid w:val="58524837"/>
    <w:rsid w:val="59DF7AE0"/>
    <w:rsid w:val="5A890899"/>
    <w:rsid w:val="5AB75F5E"/>
    <w:rsid w:val="5B3F70B1"/>
    <w:rsid w:val="5BFF08D2"/>
    <w:rsid w:val="5C2209C9"/>
    <w:rsid w:val="5C9C1C7E"/>
    <w:rsid w:val="5D575061"/>
    <w:rsid w:val="5D784114"/>
    <w:rsid w:val="5DA870F8"/>
    <w:rsid w:val="5DB3086B"/>
    <w:rsid w:val="5FBA0B48"/>
    <w:rsid w:val="5FD4774C"/>
    <w:rsid w:val="5FD60FDA"/>
    <w:rsid w:val="60224837"/>
    <w:rsid w:val="60BA0C74"/>
    <w:rsid w:val="60F3244D"/>
    <w:rsid w:val="62C92CD3"/>
    <w:rsid w:val="637D6DA8"/>
    <w:rsid w:val="63892FA5"/>
    <w:rsid w:val="63CA5825"/>
    <w:rsid w:val="63E63410"/>
    <w:rsid w:val="650F4BE9"/>
    <w:rsid w:val="652A31DB"/>
    <w:rsid w:val="65BA51DB"/>
    <w:rsid w:val="66754F1F"/>
    <w:rsid w:val="669F364B"/>
    <w:rsid w:val="681B14CA"/>
    <w:rsid w:val="682913CA"/>
    <w:rsid w:val="69266337"/>
    <w:rsid w:val="69407A67"/>
    <w:rsid w:val="69A615B3"/>
    <w:rsid w:val="6AE6015D"/>
    <w:rsid w:val="6C17795C"/>
    <w:rsid w:val="6C3C1A66"/>
    <w:rsid w:val="6C702411"/>
    <w:rsid w:val="6CBE317C"/>
    <w:rsid w:val="6DDD5127"/>
    <w:rsid w:val="6E7D21D3"/>
    <w:rsid w:val="6EDF1526"/>
    <w:rsid w:val="6F06705D"/>
    <w:rsid w:val="6F2A129E"/>
    <w:rsid w:val="6F3055D0"/>
    <w:rsid w:val="6F426A71"/>
    <w:rsid w:val="6FBB7E47"/>
    <w:rsid w:val="700F4A32"/>
    <w:rsid w:val="70761FC0"/>
    <w:rsid w:val="7080408D"/>
    <w:rsid w:val="70916933"/>
    <w:rsid w:val="71143AB7"/>
    <w:rsid w:val="712417AE"/>
    <w:rsid w:val="71507C77"/>
    <w:rsid w:val="71615F83"/>
    <w:rsid w:val="71A16BC9"/>
    <w:rsid w:val="71B04CA4"/>
    <w:rsid w:val="729B5F95"/>
    <w:rsid w:val="72F5541E"/>
    <w:rsid w:val="73214465"/>
    <w:rsid w:val="73C6437C"/>
    <w:rsid w:val="7476433D"/>
    <w:rsid w:val="747A5071"/>
    <w:rsid w:val="74FA1B17"/>
    <w:rsid w:val="754A0532"/>
    <w:rsid w:val="75560814"/>
    <w:rsid w:val="75865EA6"/>
    <w:rsid w:val="75B72E5F"/>
    <w:rsid w:val="75DE3CCB"/>
    <w:rsid w:val="76174B66"/>
    <w:rsid w:val="763C15B6"/>
    <w:rsid w:val="763E3F17"/>
    <w:rsid w:val="765C4908"/>
    <w:rsid w:val="76832D41"/>
    <w:rsid w:val="781357B6"/>
    <w:rsid w:val="78216DE1"/>
    <w:rsid w:val="78852DA0"/>
    <w:rsid w:val="78B031CD"/>
    <w:rsid w:val="78C200B4"/>
    <w:rsid w:val="792F207E"/>
    <w:rsid w:val="798F6C69"/>
    <w:rsid w:val="7ACD7F7A"/>
    <w:rsid w:val="7AE30252"/>
    <w:rsid w:val="7B3665D4"/>
    <w:rsid w:val="7B4E6013"/>
    <w:rsid w:val="7B822A7B"/>
    <w:rsid w:val="7BF32717"/>
    <w:rsid w:val="7BFFB44D"/>
    <w:rsid w:val="7C7A41E7"/>
    <w:rsid w:val="7CF76CBC"/>
    <w:rsid w:val="7D065C53"/>
    <w:rsid w:val="7D1A5C1D"/>
    <w:rsid w:val="7DDA3FB4"/>
    <w:rsid w:val="7DDB3462"/>
    <w:rsid w:val="7DE6133B"/>
    <w:rsid w:val="7E0833D1"/>
    <w:rsid w:val="7EBC55A3"/>
    <w:rsid w:val="7ED700CE"/>
    <w:rsid w:val="7F136CCA"/>
    <w:rsid w:val="7FE67798"/>
    <w:rsid w:val="ABB14332"/>
    <w:rsid w:val="FBDE3756"/>
    <w:rsid w:val="FF4EBAF0"/>
    <w:rsid w:val="FFCDA3E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ody Text"/>
    <w:basedOn w:val="1"/>
    <w:link w:val="10"/>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Emphasis"/>
    <w:basedOn w:val="7"/>
    <w:qFormat/>
    <w:uiPriority w:val="20"/>
    <w:rPr>
      <w:i/>
    </w:rPr>
  </w:style>
  <w:style w:type="character" w:customStyle="1" w:styleId="9">
    <w:name w:val="标题 1 Char"/>
    <w:basedOn w:val="7"/>
    <w:link w:val="2"/>
    <w:qFormat/>
    <w:uiPriority w:val="0"/>
    <w:rPr>
      <w:rFonts w:ascii="Times New Roman" w:hAnsi="Times New Roman" w:cs="Mangal"/>
      <w:color w:val="00000A"/>
      <w:kern w:val="2"/>
      <w:sz w:val="24"/>
      <w:szCs w:val="24"/>
      <w:lang w:val="zh-CN" w:bidi="hi-IN"/>
    </w:rPr>
  </w:style>
  <w:style w:type="character" w:customStyle="1" w:styleId="10">
    <w:name w:val="正文文本 Char"/>
    <w:basedOn w:val="7"/>
    <w:link w:val="3"/>
    <w:qFormat/>
    <w:uiPriority w:val="1"/>
    <w:rPr>
      <w:rFonts w:ascii="Arial Unicode MS" w:hAnsi="Times New Roman" w:eastAsia="Arial Unicode MS" w:cs="Arial Unicode MS"/>
      <w:sz w:val="32"/>
      <w:szCs w:val="32"/>
    </w:rPr>
  </w:style>
  <w:style w:type="character" w:customStyle="1" w:styleId="11">
    <w:name w:val="页脚 Char"/>
    <w:basedOn w:val="7"/>
    <w:link w:val="4"/>
    <w:qFormat/>
    <w:uiPriority w:val="0"/>
    <w:rPr>
      <w:sz w:val="18"/>
      <w:szCs w:val="18"/>
    </w:rPr>
  </w:style>
  <w:style w:type="character" w:customStyle="1" w:styleId="12">
    <w:name w:val="页眉 Char"/>
    <w:basedOn w:val="7"/>
    <w:link w:val="5"/>
    <w:semiHidden/>
    <w:qFormat/>
    <w:uiPriority w:val="99"/>
    <w:rPr>
      <w:sz w:val="18"/>
      <w:szCs w:val="18"/>
    </w:rPr>
  </w:style>
  <w:style w:type="paragraph" w:customStyle="1" w:styleId="13">
    <w:name w:val="Table Paragraph"/>
    <w:basedOn w:val="1"/>
    <w:qFormat/>
    <w:uiPriority w:val="1"/>
    <w:pPr>
      <w:autoSpaceDE w:val="0"/>
      <w:autoSpaceDN w:val="0"/>
      <w:adjustRightInd w:val="0"/>
      <w:jc w:val="left"/>
    </w:pPr>
    <w:rPr>
      <w:rFonts w:ascii="Arial Unicode MS" w:hAnsi="Times New Roman" w:eastAsia="Arial Unicode MS" w:cs="Arial Unicode MS"/>
      <w:kern w:val="0"/>
      <w:sz w:val="24"/>
    </w:rPr>
  </w:style>
  <w:style w:type="paragraph" w:customStyle="1" w:styleId="14">
    <w:name w:val="正文 New"/>
    <w:qFormat/>
    <w:uiPriority w:val="0"/>
    <w:pPr>
      <w:widowControl w:val="0"/>
      <w:jc w:val="both"/>
    </w:pPr>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2167</Words>
  <Characters>2352</Characters>
  <Lines>12</Lines>
  <Paragraphs>3</Paragraphs>
  <TotalTime>0</TotalTime>
  <ScaleCrop>false</ScaleCrop>
  <LinksUpToDate>false</LinksUpToDate>
  <CharactersWithSpaces>2383</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2019-03-31T03:48:00Z</dcterms:created>
  <dc:creator>孙苏</dc:creator>
  <dc:description>根据市场监管总局关于印发《市场监督管理行政处罚文书格式范本》的通知（国市监法〔2019〕55号）校对制作</dc:description>
  <cp:lastModifiedBy>张浩</cp:lastModifiedBy>
  <cp:lastPrinted>2024-10-24T01:22:00Z</cp:lastPrinted>
  <dcterms:modified xsi:type="dcterms:W3CDTF">2024-10-28T15:07:43Z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12E4E96D668A7FB6AD321F67290A7F92</vt:lpwstr>
  </property>
</Properties>
</file>