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right"/>
        <w:textAlignment w:val="auto"/>
        <w:outlineLvl w:val="9"/>
        <w:rPr>
          <w:rFonts w:hint="eastAsia" w:ascii="仿宋_GB2312" w:hAnsi="仿宋_GB2312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/>
          <w:color w:val="auto"/>
          <w:spacing w:val="0"/>
          <w:sz w:val="32"/>
          <w:szCs w:val="32"/>
          <w:lang w:val="en-US" w:eastAsia="zh-CN"/>
        </w:rPr>
        <w:t>闽药监药流便函﹝2019﹞113号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right"/>
        <w:textAlignment w:val="auto"/>
        <w:outlineLvl w:val="9"/>
        <w:rPr>
          <w:rFonts w:hint="eastAsia" w:ascii="仿宋_GB2312" w:hAnsi="仿宋_GB2312"/>
          <w:color w:val="auto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2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color w:val="auto"/>
          <w:sz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lang w:eastAsia="zh-CN"/>
        </w:rPr>
        <w:t>福建省药品监督管理局关于切实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2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color w:val="auto"/>
          <w:sz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lang w:eastAsia="zh-CN"/>
        </w:rPr>
        <w:t>加强汛期安全防范工作的通知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20" w:lineRule="exact"/>
        <w:ind w:left="0" w:leftChars="0" w:right="0" w:rightChars="0"/>
        <w:textAlignment w:val="auto"/>
        <w:outlineLvl w:val="9"/>
        <w:rPr>
          <w:rFonts w:hint="eastAsia" w:ascii="仿宋_GB2312" w:hAnsi="仿宋_GB2312" w:eastAsia="仿宋_GB2312"/>
          <w:color w:val="auto"/>
          <w:sz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20" w:lineRule="exact"/>
        <w:ind w:left="0" w:leftChars="0" w:right="0" w:rightChars="0"/>
        <w:textAlignment w:val="auto"/>
        <w:outlineLvl w:val="9"/>
        <w:rPr>
          <w:rFonts w:hint="eastAsia" w:ascii="仿宋_GB2312" w:hAnsi="仿宋_GB2312" w:eastAsia="仿宋_GB2312"/>
          <w:color w:val="auto"/>
          <w:sz w:val="32"/>
          <w:lang w:eastAsia="zh-CN"/>
        </w:rPr>
      </w:pPr>
      <w:r>
        <w:rPr>
          <w:rFonts w:hint="eastAsia" w:ascii="仿宋_GB2312" w:hAnsi="仿宋_GB2312" w:eastAsia="仿宋_GB2312"/>
          <w:color w:val="auto"/>
          <w:sz w:val="32"/>
          <w:lang w:eastAsia="zh-CN"/>
        </w:rPr>
        <w:t>各药品批发企业和连锁总部：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20" w:lineRule="exact"/>
        <w:ind w:left="0" w:leftChars="0" w:right="0" w:rightChars="0" w:firstLine="630" w:firstLineChars="200"/>
        <w:textAlignment w:val="auto"/>
        <w:outlineLvl w:val="9"/>
        <w:rPr>
          <w:rFonts w:hint="eastAsia" w:ascii="仿宋_GB2312" w:hAnsi="仿宋_GB2312" w:eastAsia="仿宋_GB2312"/>
          <w:color w:val="auto"/>
          <w:sz w:val="32"/>
          <w:lang w:val="en-US" w:eastAsia="zh-CN"/>
        </w:rPr>
      </w:pPr>
      <w:r>
        <w:rPr>
          <w:rFonts w:hint="eastAsia" w:ascii="仿宋_GB2312" w:hAnsi="仿宋_GB2312" w:eastAsia="仿宋_GB2312"/>
          <w:color w:val="auto"/>
          <w:sz w:val="32"/>
          <w:lang w:val="en-US" w:eastAsia="zh-CN"/>
        </w:rPr>
        <w:t>目前我省已进入汛期高峰，各单位要绷紧防范安全风险这根弦，切实落实安全工作责任制，加强防范工作，完善应急预案管理，切实做好汛期安全防范工作，有效防范和坚决遏制重特大事故发生，确保流通环节的药品质量安全，现就有关要求通知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20" w:lineRule="exact"/>
        <w:ind w:left="0" w:leftChars="0" w:right="0" w:rightChars="0"/>
        <w:textAlignment w:val="auto"/>
        <w:outlineLvl w:val="9"/>
        <w:rPr>
          <w:rFonts w:hint="eastAsia" w:ascii="仿宋_GB2312" w:hAnsi="仿宋_GB2312" w:eastAsia="仿宋_GB2312"/>
          <w:color w:val="auto"/>
          <w:sz w:val="32"/>
          <w:lang w:val="en-US" w:eastAsia="zh-CN"/>
        </w:rPr>
      </w:pPr>
      <w:r>
        <w:rPr>
          <w:rFonts w:hint="eastAsia" w:ascii="黑体" w:hAnsi="黑体" w:eastAsia="黑体"/>
          <w:color w:val="auto"/>
          <w:sz w:val="32"/>
          <w:lang w:val="en-US" w:eastAsia="zh-CN"/>
        </w:rPr>
        <w:t xml:space="preserve">    一、严格落实安全工作责任制，强化安全防范措施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20" w:lineRule="exact"/>
        <w:ind w:left="0" w:leftChars="0" w:right="0" w:rightChars="0" w:firstLine="630" w:firstLineChars="200"/>
        <w:textAlignment w:val="auto"/>
        <w:outlineLvl w:val="9"/>
        <w:rPr>
          <w:rFonts w:hint="eastAsia" w:ascii="仿宋_GB2312" w:hAnsi="仿宋_GB2312" w:eastAsia="仿宋_GB2312"/>
          <w:color w:val="auto"/>
          <w:sz w:val="32"/>
          <w:lang w:val="en-US" w:eastAsia="zh-CN"/>
        </w:rPr>
      </w:pPr>
      <w:r>
        <w:rPr>
          <w:rFonts w:hint="eastAsia" w:ascii="仿宋_GB2312" w:hAnsi="仿宋_GB2312" w:eastAsia="仿宋_GB2312"/>
          <w:color w:val="auto"/>
          <w:sz w:val="32"/>
          <w:lang w:val="en-US" w:eastAsia="zh-CN"/>
        </w:rPr>
        <w:t>各单位要落实药品流通储运安全工作责任制，深入排查安全隐患，密切监控药品仓库设施设备的运行情况和温湿度变化，在汛期全力防范安全事故发生，确保药品在储存运输过程中的质量安全，特别是4+7药品集中采购中选的药品，要制定应急预案，保障药品的及时供应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20" w:lineRule="exact"/>
        <w:ind w:left="0" w:leftChars="0" w:right="0" w:rightChars="0"/>
        <w:textAlignment w:val="auto"/>
        <w:outlineLvl w:val="9"/>
        <w:rPr>
          <w:rFonts w:hint="eastAsia" w:ascii="黑体" w:hAnsi="黑体" w:eastAsia="黑体"/>
          <w:color w:val="auto"/>
          <w:sz w:val="32"/>
          <w:lang w:val="en-US" w:eastAsia="zh-CN"/>
        </w:rPr>
      </w:pPr>
      <w:r>
        <w:rPr>
          <w:rFonts w:hint="eastAsia" w:ascii="黑体" w:hAnsi="黑体" w:eastAsia="黑体"/>
          <w:color w:val="auto"/>
          <w:sz w:val="32"/>
          <w:lang w:val="en-US" w:eastAsia="zh-CN"/>
        </w:rPr>
        <w:t xml:space="preserve">    二、结合汛期特点，强化药品储运隐患排查治理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20" w:lineRule="exact"/>
        <w:ind w:left="0" w:leftChars="0" w:right="0" w:rightChars="0" w:firstLine="630" w:firstLineChars="200"/>
        <w:textAlignment w:val="auto"/>
        <w:outlineLvl w:val="9"/>
        <w:rPr>
          <w:rFonts w:hint="eastAsia" w:ascii="仿宋_GB2312" w:hAnsi="仿宋_GB2312" w:eastAsia="仿宋_GB2312"/>
          <w:color w:val="auto"/>
          <w:sz w:val="32"/>
          <w:lang w:val="en-US" w:eastAsia="zh-CN"/>
        </w:rPr>
      </w:pPr>
      <w:r>
        <w:rPr>
          <w:rFonts w:hint="eastAsia" w:ascii="仿宋_GB2312" w:hAnsi="仿宋_GB2312" w:eastAsia="仿宋_GB2312"/>
          <w:color w:val="auto"/>
          <w:sz w:val="32"/>
          <w:lang w:val="en-US" w:eastAsia="zh-CN"/>
        </w:rPr>
        <w:t>各单位要结合地理位置，做好雨季防汛、防排水、防雷电“三防”检查，要密切关注、及时掌握气象预报和灾害预警信息，加强对药品仓库的巡查监控，发现重大险情及时转移疏散、避险逃生，确保生命财产安全和社会稳定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20" w:lineRule="exact"/>
        <w:ind w:left="0" w:leftChars="0" w:right="0" w:rightChars="0" w:firstLine="630" w:firstLineChars="200"/>
        <w:textAlignment w:val="auto"/>
        <w:outlineLvl w:val="9"/>
        <w:rPr>
          <w:rFonts w:hint="eastAsia" w:ascii="黑体" w:hAnsi="黑体" w:eastAsia="黑体"/>
          <w:color w:val="auto"/>
          <w:sz w:val="32"/>
          <w:lang w:val="en-US" w:eastAsia="zh-CN"/>
        </w:rPr>
      </w:pPr>
      <w:r>
        <w:rPr>
          <w:rFonts w:hint="eastAsia" w:ascii="黑体" w:hAnsi="黑体" w:eastAsia="黑体"/>
          <w:color w:val="auto"/>
          <w:sz w:val="32"/>
          <w:lang w:val="en-US" w:eastAsia="zh-CN"/>
        </w:rPr>
        <w:t>三、落实企业主体责任，确保药品质量安全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20" w:lineRule="exact"/>
        <w:ind w:left="0" w:leftChars="0" w:right="0" w:rightChars="0" w:firstLine="630" w:firstLineChars="200"/>
        <w:textAlignment w:val="auto"/>
        <w:outlineLvl w:val="9"/>
        <w:rPr>
          <w:rFonts w:hint="eastAsia" w:ascii="仿宋_GB2312" w:hAnsi="仿宋_GB2312" w:eastAsia="仿宋_GB2312"/>
          <w:color w:val="auto"/>
          <w:sz w:val="32"/>
          <w:lang w:val="en-US" w:eastAsia="zh-CN"/>
        </w:rPr>
      </w:pPr>
      <w:r>
        <w:rPr>
          <w:rFonts w:hint="eastAsia" w:ascii="仿宋_GB2312" w:hAnsi="仿宋_GB2312" w:eastAsia="仿宋_GB2312"/>
          <w:color w:val="auto"/>
          <w:sz w:val="32"/>
          <w:lang w:val="en-US" w:eastAsia="zh-CN"/>
        </w:rPr>
        <w:t>各单位要落实企业主体责任，一旦发生药品水浸破损，要严格按照GSP不合格药品处理程序进行处置并做好相关记录，并在药品监督管理部门的监督下销毁，严禁上市销售。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20" w:lineRule="exact"/>
        <w:ind w:left="0" w:leftChars="0" w:right="0" w:rightChars="0" w:firstLine="630" w:firstLineChars="200"/>
        <w:textAlignment w:val="auto"/>
        <w:outlineLvl w:val="9"/>
        <w:rPr>
          <w:rFonts w:hint="eastAsia" w:ascii="仿宋_GB2312" w:hAnsi="仿宋_GB2312" w:eastAsia="仿宋_GB2312"/>
          <w:color w:val="auto"/>
          <w:sz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20" w:lineRule="exact"/>
        <w:ind w:left="0" w:leftChars="0" w:right="0" w:rightChars="0" w:firstLine="630" w:firstLineChars="200"/>
        <w:textAlignment w:val="auto"/>
        <w:outlineLvl w:val="9"/>
        <w:rPr>
          <w:rFonts w:hint="eastAsia" w:ascii="仿宋_GB2312" w:hAnsi="仿宋_GB2312" w:eastAsia="仿宋_GB2312"/>
          <w:color w:val="auto"/>
          <w:sz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20" w:lineRule="exact"/>
        <w:ind w:left="0" w:leftChars="0" w:right="0" w:rightChars="0" w:firstLine="630" w:firstLineChars="200"/>
        <w:textAlignment w:val="auto"/>
        <w:outlineLvl w:val="9"/>
        <w:rPr>
          <w:rFonts w:hint="eastAsia" w:ascii="仿宋_GB2312" w:hAnsi="仿宋_GB2312" w:eastAsia="仿宋_GB2312"/>
          <w:color w:val="auto"/>
          <w:sz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20" w:lineRule="exact"/>
        <w:ind w:left="0" w:leftChars="0" w:right="0" w:rightChars="0" w:firstLine="630" w:firstLineChars="200"/>
        <w:textAlignment w:val="auto"/>
        <w:outlineLvl w:val="9"/>
        <w:rPr>
          <w:rFonts w:hint="eastAsia" w:ascii="仿宋_GB2312" w:hAnsi="仿宋_GB2312" w:eastAsia="仿宋_GB2312"/>
          <w:color w:val="auto"/>
          <w:sz w:val="32"/>
          <w:lang w:val="en-US" w:eastAsia="zh-CN"/>
        </w:rPr>
      </w:pPr>
      <w:r>
        <w:rPr>
          <w:rFonts w:hint="eastAsia" w:ascii="仿宋_GB2312" w:hAnsi="仿宋_GB2312" w:eastAsia="仿宋_GB2312"/>
          <w:color w:val="auto"/>
          <w:sz w:val="32"/>
          <w:lang w:val="en-US" w:eastAsia="zh-CN"/>
        </w:rPr>
        <w:t xml:space="preserve">                     </w:t>
      </w:r>
      <w:r>
        <w:rPr>
          <w:rFonts w:hint="eastAsia" w:ascii="仿宋_GB2312" w:hAnsi="仿宋_GB2312"/>
          <w:color w:val="auto"/>
          <w:sz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/>
          <w:color w:val="auto"/>
          <w:sz w:val="32"/>
          <w:lang w:val="en-US" w:eastAsia="zh-CN"/>
        </w:rPr>
        <w:t xml:space="preserve"> 福建省药品监督管理局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2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_GB2312" w:hAnsi="仿宋_GB2312" w:eastAsia="仿宋_GB2312"/>
          <w:color w:val="auto"/>
          <w:sz w:val="32"/>
          <w:lang w:val="en-US" w:eastAsia="zh-CN"/>
        </w:rPr>
      </w:pPr>
      <w:r>
        <w:rPr>
          <w:rFonts w:hint="eastAsia" w:ascii="仿宋_GB2312" w:hAnsi="仿宋_GB2312" w:eastAsia="仿宋_GB2312"/>
          <w:color w:val="auto"/>
          <w:sz w:val="32"/>
          <w:lang w:val="en-US" w:eastAsia="zh-CN"/>
        </w:rPr>
        <w:t xml:space="preserve">                        2019年5月22日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2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/>
          <w:color w:val="auto"/>
          <w:kern w:val="0"/>
          <w:sz w:val="44"/>
          <w:szCs w:val="44"/>
          <w:lang w:val="en-US" w:eastAsia="zh-CN" w:bidi="ar-SA"/>
        </w:rPr>
      </w:pPr>
      <w:r>
        <w:rPr>
          <w:rFonts w:hint="eastAsia" w:ascii="仿宋_GB2312" w:hAnsi="仿宋_GB2312"/>
          <w:color w:val="auto"/>
          <w:sz w:val="32"/>
          <w:lang w:val="en-US" w:eastAsia="zh-CN"/>
        </w:rPr>
        <w:t xml:space="preserve">    （公开属性：主动公开）</w:t>
      </w:r>
      <w:r>
        <w:rPr>
          <w:rFonts w:hint="eastAsia" w:ascii="仿宋_GB2312" w:hAnsi="仿宋_GB2312" w:eastAsia="仿宋_GB2312"/>
          <w:color w:val="auto"/>
          <w:sz w:val="32"/>
          <w:lang w:val="en-US" w:eastAsia="zh-CN"/>
        </w:rPr>
        <w:t xml:space="preserve">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2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/>
          <w:color w:val="auto"/>
          <w:spacing w:val="0"/>
          <w:sz w:val="28"/>
          <w:szCs w:val="32"/>
          <w:lang w:val="en-US" w:eastAsia="zh-CN"/>
        </w:rPr>
      </w:pPr>
    </w:p>
    <w:p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587" w:right="1361" w:bottom="1361" w:left="1587" w:header="851" w:footer="1474" w:gutter="0"/>
      <w:pg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pgNumType w:fmt="numberInDash"/>
      <w:cols w:space="720" w:num="1"/>
      <w:titlePg/>
      <w:docGrid w:type="linesAndChars" w:linePitch="579" w:charSpace="161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altName w:val="宋体"/>
    <w:panose1 w:val="03000509000000000000"/>
    <w:charset w:val="86"/>
    <w:family w:val="script"/>
    <w:pitch w:val="default"/>
    <w:sig w:usb0="00000000" w:usb1="00000000" w:usb2="00000010" w:usb3="00000000" w:csb0="003C004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Align="top"/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50" w:space="0"/>
      </w:pBdr>
      <w:overflowPunct w:val="0"/>
      <w:autoSpaceDE w:val="0"/>
      <w:autoSpaceDN w:val="0"/>
      <w:adjustRightInd w:val="0"/>
      <w:spacing w:after="0" w:afterLines="0" w:line="240" w:lineRule="atLeast"/>
      <w:jc w:val="both"/>
      <w:textAlignment w:val="baseline"/>
      <w:rPr>
        <w:rStyle w:val="6"/>
        <w:rFonts w:hint="eastAsia" w:ascii="宋体" w:hAnsi="宋体" w:eastAsia="宋体" w:cs="宋体"/>
        <w:sz w:val="32"/>
      </w:rPr>
    </w:pPr>
    <w:r>
      <w:rPr>
        <w:rFonts w:hint="eastAsia" w:ascii="宋体" w:hAnsi="宋体" w:eastAsia="宋体" w:cs="宋体"/>
        <w:sz w:val="32"/>
      </w:rPr>
      <w:fldChar w:fldCharType="begin"/>
    </w:r>
    <w:r>
      <w:rPr>
        <w:rStyle w:val="6"/>
        <w:rFonts w:hint="eastAsia" w:ascii="宋体" w:hAnsi="宋体" w:eastAsia="宋体" w:cs="宋体"/>
        <w:sz w:val="32"/>
      </w:rPr>
      <w:instrText xml:space="preserve"> PAGE  </w:instrText>
    </w:r>
    <w:r>
      <w:rPr>
        <w:rFonts w:hint="eastAsia" w:ascii="宋体" w:hAnsi="宋体" w:eastAsia="宋体" w:cs="宋体"/>
        <w:sz w:val="32"/>
      </w:rPr>
      <w:fldChar w:fldCharType="separate"/>
    </w:r>
    <w:r>
      <w:rPr>
        <w:rStyle w:val="6"/>
        <w:rFonts w:hint="eastAsia" w:ascii="宋体" w:hAnsi="宋体" w:eastAsia="宋体" w:cs="宋体"/>
        <w:sz w:val="32"/>
      </w:rPr>
      <w:t>- 1 -</w:t>
    </w:r>
    <w:r>
      <w:rPr>
        <w:rFonts w:hint="eastAsia" w:ascii="宋体" w:hAnsi="宋体" w:eastAsia="宋体" w:cs="宋体"/>
        <w:sz w:val="32"/>
      </w:rPr>
      <w:fldChar w:fldCharType="end"/>
    </w:r>
  </w:p>
  <w:p>
    <w:pPr>
      <w:pStyle w:val="2"/>
      <w:wordWrap w:val="0"/>
      <w:ind w:right="308" w:rightChars="100" w:firstLine="360" w:firstLineChars="0"/>
      <w:jc w:val="right"/>
      <w:rPr>
        <w:rFonts w:hint="eastAsia" w:ascii="楷体_GB2312" w:eastAsia="楷体_GB2312"/>
        <w:sz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Align="top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50" w:space="0"/>
      </w:pBdr>
      <w:spacing w:after="0" w:afterLines="0"/>
      <w:rPr>
        <w:rFonts w:hint="eastAsia" w:ascii="宋体" w:hAnsi="宋体" w:eastAsia="宋体" w:cs="宋体"/>
        <w:sz w:val="32"/>
      </w:rPr>
    </w:pPr>
    <w:r>
      <w:rPr>
        <w:rFonts w:hint="eastAsia" w:ascii="宋体" w:hAnsi="宋体" w:eastAsia="宋体" w:cs="宋体"/>
        <w:sz w:val="32"/>
      </w:rPr>
      <w:fldChar w:fldCharType="begin"/>
    </w:r>
    <w:r>
      <w:rPr>
        <w:rStyle w:val="6"/>
        <w:rFonts w:hint="eastAsia" w:ascii="宋体" w:hAnsi="宋体" w:eastAsia="宋体" w:cs="宋体"/>
        <w:sz w:val="32"/>
      </w:rPr>
      <w:instrText xml:space="preserve"> PAGE  </w:instrText>
    </w:r>
    <w:r>
      <w:rPr>
        <w:rFonts w:hint="eastAsia" w:ascii="宋体" w:hAnsi="宋体" w:eastAsia="宋体" w:cs="宋体"/>
        <w:sz w:val="32"/>
      </w:rPr>
      <w:fldChar w:fldCharType="separate"/>
    </w:r>
    <w:r>
      <w:rPr>
        <w:rStyle w:val="6"/>
        <w:rFonts w:hint="eastAsia" w:ascii="宋体" w:hAnsi="宋体" w:eastAsia="宋体" w:cs="宋体"/>
        <w:sz w:val="32"/>
      </w:rPr>
      <w:t>- 1 -</w:t>
    </w:r>
    <w:r>
      <w:rPr>
        <w:rFonts w:hint="eastAsia" w:ascii="宋体" w:hAnsi="宋体" w:eastAsia="宋体" w:cs="宋体"/>
        <w:sz w:val="32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 w:firstLineChars="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5E6A56FE"/>
    <w:rsid w:val="6EFD0B6C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eastAsia="仿宋_GB2312"/>
      <w:spacing w:val="-6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7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</w:rPr>
  </w:style>
  <w:style w:type="paragraph" w:styleId="3">
    <w:name w:val="header"/>
    <w:basedOn w:val="1"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</w:rPr>
  </w:style>
  <w:style w:type="paragraph" w:styleId="4">
    <w:name w:val="Normal (Web)"/>
    <w:basedOn w:val="1"/>
    <w:uiPriority w:val="0"/>
    <w:pPr>
      <w:spacing w:before="100" w:beforeAutospacing="1" w:after="100" w:afterAutospacing="1" w:line="240" w:lineRule="auto"/>
      <w:ind w:left="0" w:right="0"/>
      <w:jc w:val="left"/>
    </w:pPr>
    <w:rPr>
      <w:rFonts w:ascii="Calibri" w:hAnsi="Calibri" w:eastAsia="宋体" w:cs="Times New Roman"/>
      <w:spacing w:val="0"/>
      <w:kern w:val="0"/>
      <w:sz w:val="24"/>
      <w:szCs w:val="24"/>
      <w:lang w:val="en-US" w:eastAsia="zh-CN" w:bidi="ar"/>
    </w:rPr>
  </w:style>
  <w:style w:type="character" w:styleId="6">
    <w:name w:val="page number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zhaoxinlei</dc:creator>
  <cp:lastModifiedBy>lenovo</cp:lastModifiedBy>
  <dcterms:modified xsi:type="dcterms:W3CDTF">2019-06-18T08:43:33Z</dcterms:modified>
  <dc:title>闽药监药流便函﹝2019﹞113号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